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1CCEE">
      <w:pPr>
        <w:spacing w:line="360" w:lineRule="auto"/>
        <w:jc w:val="left"/>
        <w:rPr>
          <w:rFonts w:hint="eastAsia" w:ascii="Times New Roman" w:hAnsi="Times New Roman" w:eastAsia="宋体" w:cs="Times New Roman"/>
          <w:b/>
          <w:bCs/>
          <w:sz w:val="28"/>
          <w:szCs w:val="28"/>
          <w:highlight w:val="none"/>
          <w:lang w:val="en-US" w:eastAsia="zh-CN"/>
        </w:rPr>
      </w:pPr>
      <w:r>
        <w:rPr>
          <w:rFonts w:hint="eastAsia" w:ascii="Times New Roman" w:hAnsi="Times New Roman" w:eastAsia="宋体" w:cs="Times New Roman"/>
          <w:b/>
          <w:bCs/>
          <w:sz w:val="28"/>
          <w:szCs w:val="28"/>
          <w:highlight w:val="none"/>
          <w:lang w:val="en-US" w:eastAsia="zh-CN"/>
        </w:rPr>
        <w:t>附件：</w:t>
      </w:r>
    </w:p>
    <w:p w14:paraId="394FA220">
      <w:pPr>
        <w:spacing w:line="360" w:lineRule="auto"/>
        <w:jc w:val="center"/>
        <w:rPr>
          <w:rFonts w:ascii="Times New Roman" w:hAnsi="Times New Roman" w:cs="Times New Roman"/>
          <w:b/>
          <w:bCs/>
          <w:sz w:val="30"/>
          <w:szCs w:val="30"/>
          <w:highlight w:val="none"/>
        </w:rPr>
      </w:pPr>
      <w:r>
        <w:rPr>
          <w:rFonts w:ascii="Times New Roman" w:hAnsi="Times New Roman" w:eastAsia="宋体" w:cs="Times New Roman"/>
          <w:b/>
          <w:bCs/>
          <w:sz w:val="30"/>
          <w:szCs w:val="30"/>
          <w:highlight w:val="none"/>
        </w:rPr>
        <w:t>202</w:t>
      </w:r>
      <w:r>
        <w:rPr>
          <w:rFonts w:hint="eastAsia" w:ascii="Times New Roman" w:hAnsi="Times New Roman" w:eastAsia="宋体" w:cs="Times New Roman"/>
          <w:b/>
          <w:bCs/>
          <w:sz w:val="30"/>
          <w:szCs w:val="30"/>
          <w:highlight w:val="none"/>
          <w:lang w:val="en-US" w:eastAsia="zh-CN"/>
        </w:rPr>
        <w:t>6</w:t>
      </w:r>
      <w:r>
        <w:rPr>
          <w:rFonts w:ascii="Times New Roman" w:hAnsi="Times New Roman" w:cs="Times New Roman"/>
          <w:b/>
          <w:bCs/>
          <w:sz w:val="30"/>
          <w:szCs w:val="30"/>
          <w:highlight w:val="none"/>
        </w:rPr>
        <w:t>年度</w:t>
      </w:r>
      <w:r>
        <w:rPr>
          <w:rFonts w:hint="eastAsia" w:ascii="Times New Roman" w:hAnsi="Times New Roman" w:cs="Times New Roman"/>
          <w:b/>
          <w:bCs/>
          <w:sz w:val="30"/>
          <w:szCs w:val="30"/>
          <w:highlight w:val="none"/>
        </w:rPr>
        <w:t>科学技术进步奖</w:t>
      </w:r>
      <w:r>
        <w:rPr>
          <w:rFonts w:ascii="Times New Roman" w:hAnsi="Times New Roman" w:cs="Times New Roman"/>
          <w:b/>
          <w:bCs/>
          <w:sz w:val="30"/>
          <w:szCs w:val="30"/>
          <w:highlight w:val="none"/>
        </w:rPr>
        <w:t>公示材料</w:t>
      </w:r>
    </w:p>
    <w:p w14:paraId="6EE6D6E8">
      <w:pPr>
        <w:pStyle w:val="12"/>
        <w:rPr>
          <w:highlight w:val="none"/>
        </w:rPr>
      </w:pPr>
    </w:p>
    <w:p w14:paraId="169A9293">
      <w:pPr>
        <w:spacing w:line="360" w:lineRule="auto"/>
        <w:rPr>
          <w:rFonts w:hint="eastAsia" w:ascii="Times New Roman" w:hAnsi="Times New Roman" w:eastAsia="仿宋" w:cs="Times New Roman"/>
          <w:sz w:val="24"/>
          <w:highlight w:val="none"/>
        </w:rPr>
      </w:pPr>
      <w:r>
        <w:rPr>
          <w:rFonts w:hint="eastAsia" w:ascii="Times New Roman" w:hAnsi="Times New Roman" w:eastAsia="黑体" w:cs="Times New Roman"/>
          <w:b/>
          <w:sz w:val="24"/>
          <w:highlight w:val="none"/>
        </w:rPr>
        <w:t>一、</w:t>
      </w:r>
      <w:r>
        <w:rPr>
          <w:rFonts w:ascii="Times New Roman" w:hAnsi="Times New Roman" w:eastAsia="黑体" w:cs="Times New Roman"/>
          <w:b/>
          <w:sz w:val="24"/>
          <w:highlight w:val="none"/>
        </w:rPr>
        <w:t>成果名称：</w:t>
      </w:r>
      <w:r>
        <w:rPr>
          <w:rFonts w:hint="eastAsia" w:ascii="Times New Roman" w:hAnsi="Times New Roman" w:eastAsia="仿宋" w:cs="Times New Roman"/>
          <w:sz w:val="24"/>
          <w:highlight w:val="none"/>
        </w:rPr>
        <w:t>复杂工况下</w:t>
      </w:r>
      <w:bookmarkStart w:id="0" w:name="_GoBack"/>
      <w:bookmarkEnd w:id="0"/>
      <w:r>
        <w:rPr>
          <w:rFonts w:hint="eastAsia" w:ascii="Times New Roman" w:hAnsi="Times New Roman" w:eastAsia="仿宋" w:cs="Times New Roman"/>
          <w:sz w:val="24"/>
          <w:highlight w:val="none"/>
        </w:rPr>
        <w:t>新能源汽车动力系统关键技术及应用</w:t>
      </w:r>
    </w:p>
    <w:p w14:paraId="2816BF42">
      <w:pPr>
        <w:spacing w:line="360" w:lineRule="auto"/>
        <w:rPr>
          <w:rFonts w:ascii="Times New Roman" w:hAnsi="Times New Roman" w:eastAsia="仿宋" w:cs="Times New Roman"/>
          <w:bCs/>
          <w:sz w:val="24"/>
          <w:highlight w:val="none"/>
        </w:rPr>
      </w:pPr>
      <w:r>
        <w:rPr>
          <w:rFonts w:ascii="Times New Roman" w:hAnsi="Times New Roman" w:eastAsia="黑体" w:cs="Times New Roman"/>
          <w:b/>
          <w:sz w:val="24"/>
          <w:highlight w:val="none"/>
        </w:rPr>
        <w:t>二、提名者：</w:t>
      </w:r>
      <w:r>
        <w:rPr>
          <w:rFonts w:ascii="Times New Roman" w:hAnsi="Times New Roman" w:eastAsia="仿宋" w:cs="Times New Roman"/>
          <w:sz w:val="24"/>
          <w:highlight w:val="none"/>
        </w:rPr>
        <w:t>广西壮族自治区</w:t>
      </w:r>
      <w:r>
        <w:rPr>
          <w:rFonts w:hint="eastAsia" w:ascii="Times New Roman" w:hAnsi="Times New Roman" w:eastAsia="仿宋" w:cs="Times New Roman"/>
          <w:sz w:val="24"/>
          <w:highlight w:val="none"/>
        </w:rPr>
        <w:t>柳州市人民政府</w:t>
      </w:r>
    </w:p>
    <w:p w14:paraId="156704F2">
      <w:pPr>
        <w:spacing w:line="360" w:lineRule="auto"/>
        <w:rPr>
          <w:rFonts w:ascii="Times New Roman" w:eastAsia="仿宋" w:cs="Times New Roman"/>
          <w:bCs/>
          <w:highlight w:val="none"/>
        </w:rPr>
      </w:pPr>
      <w:r>
        <w:rPr>
          <w:rFonts w:hint="eastAsia" w:ascii="Times New Roman" w:eastAsia="黑体" w:cs="Times New Roman"/>
          <w:b/>
          <w:highlight w:val="none"/>
        </w:rPr>
        <w:t>三、</w:t>
      </w:r>
      <w:r>
        <w:rPr>
          <w:rFonts w:hint="eastAsia" w:ascii="Times New Roman" w:hAnsi="Times New Roman" w:eastAsia="黑体" w:cs="Times New Roman"/>
          <w:b/>
          <w:sz w:val="24"/>
          <w:highlight w:val="none"/>
        </w:rPr>
        <w:t>提名意见</w:t>
      </w:r>
      <w:r>
        <w:rPr>
          <w:rFonts w:hint="eastAsia" w:ascii="Times New Roman" w:eastAsia="黑体" w:cs="Times New Roman"/>
          <w:b/>
          <w:highlight w:val="none"/>
        </w:rPr>
        <w:t>：</w:t>
      </w:r>
      <w:r>
        <w:rPr>
          <w:rFonts w:hint="eastAsia" w:ascii="Times New Roman" w:hAnsi="Times New Roman" w:eastAsia="仿宋" w:cs="Times New Roman"/>
          <w:sz w:val="24"/>
          <w:highlight w:val="none"/>
        </w:rPr>
        <w:t>科学技术进步奖——产业创新类/一等奖</w:t>
      </w:r>
    </w:p>
    <w:p w14:paraId="7FCD1F42">
      <w:pPr>
        <w:spacing w:line="360" w:lineRule="auto"/>
        <w:rPr>
          <w:rFonts w:ascii="Times New Roman" w:hAnsi="Times New Roman" w:eastAsia="黑体" w:cs="Times New Roman"/>
          <w:b/>
          <w:sz w:val="24"/>
          <w:highlight w:val="none"/>
        </w:rPr>
      </w:pPr>
      <w:r>
        <w:rPr>
          <w:rFonts w:hint="eastAsia" w:ascii="Times New Roman" w:hAnsi="Times New Roman" w:eastAsia="黑体" w:cs="Times New Roman"/>
          <w:b/>
          <w:sz w:val="24"/>
          <w:highlight w:val="none"/>
        </w:rPr>
        <w:t>四</w:t>
      </w:r>
      <w:r>
        <w:rPr>
          <w:rFonts w:ascii="Times New Roman" w:hAnsi="Times New Roman" w:eastAsia="黑体" w:cs="Times New Roman"/>
          <w:b/>
          <w:sz w:val="24"/>
          <w:highlight w:val="none"/>
        </w:rPr>
        <w:t>、候选人姓名</w:t>
      </w:r>
    </w:p>
    <w:p w14:paraId="33F276B8">
      <w:pPr>
        <w:spacing w:line="360" w:lineRule="auto"/>
        <w:rPr>
          <w:rFonts w:hint="eastAsia" w:ascii="Times New Roman" w:hAnsi="Times New Roman" w:eastAsia="仿宋" w:cs="Times New Roman"/>
          <w:sz w:val="24"/>
          <w:highlight w:val="none"/>
        </w:rPr>
      </w:pPr>
      <w:r>
        <w:rPr>
          <w:rFonts w:hint="eastAsia" w:ascii="Times New Roman" w:hAnsi="Times New Roman" w:eastAsia="仿宋" w:cs="Times New Roman"/>
          <w:sz w:val="24"/>
          <w:highlight w:val="none"/>
        </w:rPr>
        <w:t>裴瑞琳、莫伟忠、徐海军、陈致初、陈虎城、黄恒仕、杨杰、黄德佳、王勇、于绍峰、梁志、吴永彬、陈衍标、李贵和、马超</w:t>
      </w:r>
    </w:p>
    <w:p w14:paraId="412CE175">
      <w:pPr>
        <w:spacing w:line="360" w:lineRule="auto"/>
        <w:rPr>
          <w:rFonts w:ascii="Times New Roman" w:hAnsi="Times New Roman" w:eastAsia="黑体" w:cs="Times New Roman"/>
          <w:b/>
          <w:sz w:val="24"/>
          <w:highlight w:val="none"/>
        </w:rPr>
      </w:pPr>
      <w:r>
        <w:rPr>
          <w:rFonts w:ascii="Times New Roman" w:hAnsi="Times New Roman" w:eastAsia="黑体" w:cs="Times New Roman"/>
          <w:b/>
          <w:sz w:val="24"/>
          <w:highlight w:val="none"/>
        </w:rPr>
        <w:t>五、候选组织名称</w:t>
      </w:r>
    </w:p>
    <w:p w14:paraId="57CF877F">
      <w:pPr>
        <w:autoSpaceDE w:val="0"/>
        <w:autoSpaceDN w:val="0"/>
        <w:adjustRightInd w:val="0"/>
        <w:snapToGrid w:val="0"/>
        <w:spacing w:before="156" w:beforeLines="50" w:line="312" w:lineRule="auto"/>
        <w:rPr>
          <w:rFonts w:ascii="Times New Roman" w:hAnsi="Times New Roman" w:eastAsia="仿宋" w:cs="Times New Roman"/>
          <w:sz w:val="24"/>
          <w:highlight w:val="none"/>
        </w:rPr>
      </w:pPr>
      <w:r>
        <w:rPr>
          <w:rFonts w:hint="eastAsia" w:ascii="Times New Roman" w:hAnsi="Times New Roman" w:eastAsia="仿宋" w:cs="Times New Roman"/>
          <w:sz w:val="24"/>
          <w:highlight w:val="none"/>
        </w:rPr>
        <w:t>柳州五菱汽车工业有限公司、苏州英磁新能源科技有限公司、柳州卓通汽车零部件有限公司、桂林电子科技大学、北汽福田汽车股份有限公司、上海交通大学、湖南中车时代电驱科技有限公司</w:t>
      </w:r>
    </w:p>
    <w:p w14:paraId="4F8DE9E7">
      <w:pPr>
        <w:spacing w:line="360" w:lineRule="auto"/>
        <w:rPr>
          <w:rFonts w:ascii="Times New Roman" w:hAnsi="Times New Roman" w:eastAsia="黑体" w:cs="Times New Roman"/>
          <w:b/>
          <w:sz w:val="24"/>
          <w:highlight w:val="none"/>
        </w:rPr>
      </w:pPr>
      <w:r>
        <w:rPr>
          <w:rFonts w:ascii="Times New Roman" w:hAnsi="Times New Roman" w:eastAsia="黑体" w:cs="Times New Roman"/>
          <w:b/>
          <w:sz w:val="24"/>
          <w:highlight w:val="none"/>
        </w:rPr>
        <w:t>六、候选个人合作情况</w:t>
      </w:r>
    </w:p>
    <w:p w14:paraId="743BE7A4">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一、各候选单位分工</w:t>
      </w:r>
    </w:p>
    <w:p w14:paraId="2E7D3820">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第1候选单位柳州五菱汽车工业有限公司负责总体组织、电驱桥集成、低噪声设计制造、多执行器协同控制及产业化；第2候选单位苏州英磁新能源科技有限公司负责磁材料表征、混合导磁电机设计与部件试制；第3候选单位柳州卓通汽车零部件有限公司负责关键零部件制造、工艺开发及配套供货。</w:t>
      </w:r>
    </w:p>
    <w:p w14:paraId="7C73B983">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第4候选单位桂林电子科技大学负责电机及传动系统建模、结构优化与控制研究；第5候选单位北汽福田汽车股份有限公司负责整车需求、系统匹配、道路试验及应用反馈；第6候选单位上海交通大学参与动力系统建模、能量转换及控制研究；第7候选单位湖南中车时代电驱科技有限公司负责驱动电机与电驱系统开发、验证及工程化。各单位协同衔接基础研究、部件制造与整车应用。</w:t>
      </w:r>
    </w:p>
    <w:p w14:paraId="03E0F4DC">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二、候选个人合作关系</w:t>
      </w:r>
    </w:p>
    <w:p w14:paraId="29468036">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候选个人合作关系分为共同知识产权、项目及合同合作两类，分别以共同署名成果、项目任务及合同履行材料说明合作关系和个人贡献。</w:t>
      </w:r>
    </w:p>
    <w:p w14:paraId="0E06D0C1">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（一）以共同知识产权体现的合作关系</w:t>
      </w:r>
    </w:p>
    <w:p w14:paraId="25E24A4D">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1.电机拓扑优化及相关合作成果</w:t>
      </w:r>
    </w:p>
    <w:p w14:paraId="53981E2C">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第1候选单位的第2候选人莫伟忠与第4候选单位的第5候选人陈虎城，共同开展永磁同步电机转子辅助槽拓扑优化研究，将响应曲面法与遗传算法用于槽形参数优化，协调抑制电磁噪声与保持转矩输出，形成论文《基于响应曲面法与遗传算法的永磁同步电机转子辅助槽拓扑优化设计》（《轻工科技》，2025年第41卷第4期）。该论文同时署名两家单位，体现了企业工程需求与高校建模优化的直接合作。此外，莫伟忠参与形成论文《RULPredictionBasedonxLSTM-TransformerNeuralNetworkforRollingElementBearingsUnderDifferentWorkingConditions》。</w:t>
      </w:r>
    </w:p>
    <w:p w14:paraId="6FAAC35E">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2.电子差速器结构及执行机构协同开发</w:t>
      </w:r>
    </w:p>
    <w:p w14:paraId="71723D83">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第1候选单位的第2候选人莫伟忠、第6候选人黄恒仕与第8候选人陈衍标共同开展车辆电子差速器设计与工程开发，围绕触发机构、传动构件及差速锁止机构的配合，解决差速功能切换与结构集成问题，共同形成发明专利《一种车辆电子差速器和车辆》（ZL202410435824.5）。该成果体现三人在电驱桥关键执行机构开发中的协作，为差速锁执行及后续协同控制应用提供结构基础。</w:t>
      </w:r>
    </w:p>
    <w:p w14:paraId="70D6BFA9">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3.电驱桥集成、减速器开发与台架验证</w:t>
      </w:r>
    </w:p>
    <w:p w14:paraId="04B580B7">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第3候选单位的第3候选人徐海军，与第1候选单位的第7候选人杨杰、第10候选人梁志共同开展减速器总成及壳体组件设计，形成发明专利《一种减速器总成及减速器壳体组件》（ZL202110303160.3）；杨杰、梁志共同形成《一种电驱动桥的电机总成和电驱动桥》（ZL202111173250.1），推进电机总成与驱动桥的结构集成。徐海军与第1候选单位的第13候选人黄德佳共同形成《一种电驱独立悬架台架试验系统》（ZL202211317882.5），梁志参与形成《一体式电驱动桥试验系统及静扭强度的试验方法》（ZL202310473934.6），将总成开发与台架验证相衔接，支撑电驱桥结构性能评价和工程化应用。徐海军现属柳州卓通，其参与形成的上述专利仍归属五菱工业，原共同研发关系不变。</w:t>
      </w:r>
    </w:p>
    <w:p w14:paraId="37EC1C7B">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（二）以项目及合同体现的合作关系</w:t>
      </w:r>
    </w:p>
    <w:p w14:paraId="0893EF36">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1.五菱工业与苏州英磁的项目合作</w:t>
      </w:r>
    </w:p>
    <w:p w14:paraId="6E205B66">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第2候选单位的第1候选人裴瑞琳，通过广西科技项目“乘用车用二合一集成式电动桥开发项目”（桂科AA19254011），与第3候选人徐海军（现属第3候选单位柳州卓通），以及第1候选单位的第7候选人杨杰、第10候选人梁志开展合作。项目实施中，裴瑞琳组织磁材料与电机技术开发，五菱工业项目团队开展电动桥总体设计、接口匹配和集成验证，将电机研究与总成工程开发衔接，为本成果面向新能源商用车的后续开发和应用奠定合作基础。</w:t>
      </w:r>
    </w:p>
    <w:p w14:paraId="44E43519">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2.苏州英磁与中车电驱的供销及技术对接合作</w:t>
      </w:r>
    </w:p>
    <w:p w14:paraId="0D16907E">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第2候选单位的第1候选人裴瑞琳与第7候选单位的第4候选人陈致初，以双方供销合作为纽带开展技术对接。苏州英磁与湖南中车时代电驱科技有限公司于2024年3月5日签订《物料采购合同协议》（合同编号3000194508），由英磁作为供方、中车电驱作为需方，约定技术质量要求、交付和验收等事项。结合项目分工，裴瑞琳组织电机技术及产品供给，陈致初组织需求对接、电机与电驱系统开发及性能验证，推动技术成果与工程应用衔接。</w:t>
      </w:r>
    </w:p>
    <w:p w14:paraId="3F27D22F">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3.五菱工业与北汽福田的整车配套开发合作</w:t>
      </w:r>
    </w:p>
    <w:p w14:paraId="72725095">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第1候选单位与第5候选单位围绕火星皮卡关键零部件研发，通过《后桥技术开发协议》开展技术开发与整车匹配合作。五菱工业以第2候选人莫伟忠为技术统筹，第14候选人李贵和参与差速锁及电子驻车控制电路、控制器样机与接口联调；北汽福田第9候选人于绍峰负责整车需求、匹配方案与试验组织，第12候选人吴永彬参与工况数据采集、实车验证及问题反馈。双方围绕驱动转矩、差速锁和驻车执行器协同，推进复杂路面牵引、脱困与坡道保持技术的整车应用。</w:t>
      </w:r>
    </w:p>
    <w:p w14:paraId="18CBB056">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4.五菱工业与柳州卓通的技术开发及供销合作</w:t>
      </w:r>
    </w:p>
    <w:p w14:paraId="7FA2B53C">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第3候选单位的第3候选人徐海军，与第1候选单位的第2候选人莫伟忠、第7候选人杨杰、第15候选人马超，围绕电驱桥技术开发开展合作。莫伟忠统筹电驱桥技术路线及关键方案，杨杰负责项目实施、接口协调和验证；徐海军组织卓通一方的工艺衔接、试制验证及制造技术对接，马超参与五菱工业一方的技术对接、实施协调和问题跟踪。双方通过样件验证与制造反馈，协同解决设计向批量制造转化中的问题。</w:t>
      </w:r>
    </w:p>
    <w:p w14:paraId="660774E6">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5.上海交通大学与五菱工业的产学研合作</w:t>
      </w:r>
    </w:p>
    <w:p w14:paraId="1849187F">
      <w:pPr>
        <w:adjustRightInd w:val="0"/>
        <w:snapToGrid w:val="0"/>
        <w:spacing w:line="406" w:lineRule="exact"/>
        <w:ind w:firstLine="480" w:firstLineChars="200"/>
        <w:rPr>
          <w:rFonts w:hint="eastAsia" w:ascii="Times New Roman" w:eastAsia="宋体"/>
          <w:color w:val="000000"/>
          <w:sz w:val="24"/>
          <w:szCs w:val="24"/>
        </w:rPr>
      </w:pPr>
      <w:r>
        <w:rPr>
          <w:rFonts w:hint="eastAsia" w:ascii="Times New Roman" w:eastAsia="宋体"/>
          <w:color w:val="000000"/>
          <w:sz w:val="24"/>
          <w:szCs w:val="24"/>
        </w:rPr>
        <w:t>第6候选单位的第11候选人王勇，通过上海交通大学与五菱工业的产学研合作，与第1候选单位的第2候选人莫伟忠，以及现属第3候选单位柳州卓通的第3候选人徐海军开展联合研究。王勇开展动力系统建模、能量转换及控制方法研究，莫伟忠统筹整车工况与总成技术需求，徐海军参与方案衔接和样机验证，推进研究成果工程化。</w:t>
      </w:r>
    </w:p>
    <w:p w14:paraId="243C601A">
      <w:pPr>
        <w:spacing w:line="360" w:lineRule="auto"/>
        <w:rPr>
          <w:rFonts w:ascii="Times New Roman" w:hAnsi="Times New Roman" w:eastAsia="黑体" w:cs="Times New Roman"/>
          <w:b/>
          <w:sz w:val="24"/>
          <w:highlight w:val="none"/>
        </w:rPr>
      </w:pPr>
      <w:r>
        <w:rPr>
          <w:rFonts w:hint="eastAsia" w:ascii="Times New Roman" w:hAnsi="Times New Roman" w:eastAsia="黑体" w:cs="Times New Roman"/>
          <w:b/>
          <w:sz w:val="24"/>
          <w:highlight w:val="none"/>
        </w:rPr>
        <w:t>七</w:t>
      </w:r>
      <w:r>
        <w:rPr>
          <w:rFonts w:ascii="Times New Roman" w:hAnsi="Times New Roman" w:eastAsia="黑体" w:cs="Times New Roman"/>
          <w:b/>
          <w:sz w:val="24"/>
          <w:highlight w:val="none"/>
        </w:rPr>
        <w:t>、主要知识产权和标准规范等目录（不超过1</w:t>
      </w:r>
      <w:r>
        <w:rPr>
          <w:rFonts w:hint="eastAsia" w:ascii="Times New Roman" w:hAnsi="Times New Roman" w:eastAsia="黑体" w:cs="Times New Roman"/>
          <w:b/>
          <w:sz w:val="24"/>
          <w:highlight w:val="none"/>
          <w:lang w:val="en-US" w:eastAsia="zh-CN"/>
        </w:rPr>
        <w:t>2</w:t>
      </w:r>
      <w:r>
        <w:rPr>
          <w:rFonts w:ascii="Times New Roman" w:hAnsi="Times New Roman" w:eastAsia="黑体" w:cs="Times New Roman"/>
          <w:b/>
          <w:sz w:val="24"/>
          <w:highlight w:val="none"/>
        </w:rPr>
        <w:t>件）</w:t>
      </w:r>
    </w:p>
    <w:p w14:paraId="781E9A29">
      <w:pPr>
        <w:pStyle w:val="12"/>
        <w:rPr>
          <w:rFonts w:ascii="Times New Roman" w:hAnsi="Times New Roman" w:eastAsia="黑体" w:cs="Times New Roman"/>
          <w:b/>
          <w:sz w:val="24"/>
          <w:highlight w:val="none"/>
        </w:rPr>
      </w:pPr>
    </w:p>
    <w:tbl>
      <w:tblPr>
        <w:tblStyle w:val="9"/>
        <w:tblW w:w="9596" w:type="dxa"/>
        <w:tblInd w:w="88" w:type="dxa"/>
        <w:tblBorders>
          <w:top w:val="none" w:color="auto" w:sz="0" w:space="0"/>
          <w:left w:val="single" w:color="auto" w:sz="4"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6"/>
        <w:gridCol w:w="1256"/>
        <w:gridCol w:w="1654"/>
        <w:gridCol w:w="1018"/>
        <w:gridCol w:w="1855"/>
        <w:gridCol w:w="2291"/>
        <w:gridCol w:w="956"/>
      </w:tblGrid>
      <w:tr w14:paraId="2CF07C4A">
        <w:tblPrEx>
          <w:tblBorders>
            <w:top w:val="none" w:color="auto" w:sz="0" w:space="0"/>
            <w:left w:val="single" w:color="auto" w:sz="4"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6" w:type="dxa"/>
            <w:tcBorders>
              <w:top w:val="single" w:color="auto" w:sz="4" w:space="0"/>
              <w:bottom w:val="single" w:color="auto" w:sz="4" w:space="0"/>
              <w:right w:val="single" w:color="auto" w:sz="4" w:space="0"/>
            </w:tcBorders>
            <w:shd w:val="clear" w:color="auto" w:fill="auto"/>
            <w:noWrap/>
            <w:vAlign w:val="center"/>
          </w:tcPr>
          <w:p w14:paraId="25BA22FE">
            <w:pPr>
              <w:keepNext w:val="0"/>
              <w:keepLines w:val="0"/>
              <w:widowControl/>
              <w:suppressLineNumbers w:val="0"/>
              <w:jc w:val="center"/>
              <w:textAlignment w:val="center"/>
              <w:rPr>
                <w:rFonts w:ascii="宋体-简" w:hAnsi="宋体-简" w:eastAsia="宋体-简" w:cs="宋体-简"/>
                <w:i w:val="0"/>
                <w:iCs w:val="0"/>
                <w:color w:val="000000"/>
                <w:sz w:val="22"/>
                <w:szCs w:val="22"/>
                <w:highlight w:val="none"/>
                <w:u w:val="none"/>
              </w:rPr>
            </w:pPr>
            <w:r>
              <w:rPr>
                <w:rFonts w:hint="eastAsia" w:ascii="宋体-简" w:hAnsi="宋体-简" w:eastAsia="宋体-简" w:cs="宋体-简"/>
                <w:i w:val="0"/>
                <w:iCs w:val="0"/>
                <w:color w:val="000000"/>
                <w:kern w:val="0"/>
                <w:sz w:val="22"/>
                <w:szCs w:val="22"/>
                <w:highlight w:val="none"/>
                <w:u w:val="none"/>
                <w:lang w:val="en-US" w:eastAsia="zh-CN" w:bidi="ar"/>
              </w:rPr>
              <w:t>序号</w:t>
            </w:r>
          </w:p>
        </w:tc>
        <w:tc>
          <w:tcPr>
            <w:tcW w:w="1256" w:type="dxa"/>
            <w:tcBorders>
              <w:top w:val="single" w:color="000000" w:sz="4" w:space="0"/>
              <w:left w:val="single" w:color="auto" w:sz="4" w:space="0"/>
              <w:bottom w:val="nil"/>
              <w:right w:val="single" w:color="000000" w:sz="4" w:space="0"/>
            </w:tcBorders>
            <w:shd w:val="clear" w:color="auto" w:fill="auto"/>
            <w:vAlign w:val="center"/>
          </w:tcPr>
          <w:p w14:paraId="146A21A9">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知识产权</w:t>
            </w:r>
            <w:r>
              <w:rPr>
                <w:rFonts w:hint="eastAsia" w:ascii="宋体" w:hAnsi="宋体" w:eastAsia="宋体" w:cs="宋体"/>
                <w:b/>
                <w:bCs/>
                <w:i w:val="0"/>
                <w:iCs w:val="0"/>
                <w:color w:val="000000"/>
                <w:kern w:val="0"/>
                <w:sz w:val="20"/>
                <w:szCs w:val="20"/>
                <w:highlight w:val="none"/>
                <w:u w:val="none"/>
                <w:lang w:val="en-US" w:eastAsia="zh-CN" w:bidi="ar"/>
              </w:rPr>
              <w:br w:type="textWrapping"/>
            </w:r>
            <w:r>
              <w:rPr>
                <w:rFonts w:hint="eastAsia" w:ascii="宋体" w:hAnsi="宋体" w:eastAsia="宋体" w:cs="宋体"/>
                <w:b/>
                <w:bCs/>
                <w:i w:val="0"/>
                <w:iCs w:val="0"/>
                <w:color w:val="000000"/>
                <w:kern w:val="0"/>
                <w:sz w:val="20"/>
                <w:szCs w:val="20"/>
                <w:highlight w:val="none"/>
                <w:u w:val="none"/>
                <w:lang w:val="en-US" w:eastAsia="zh-CN" w:bidi="ar"/>
              </w:rPr>
              <w:t>（标准）类别</w:t>
            </w:r>
          </w:p>
        </w:tc>
        <w:tc>
          <w:tcPr>
            <w:tcW w:w="1654" w:type="dxa"/>
            <w:tcBorders>
              <w:top w:val="single" w:color="000000" w:sz="4" w:space="0"/>
              <w:left w:val="single" w:color="000000" w:sz="4" w:space="0"/>
              <w:bottom w:val="nil"/>
              <w:right w:val="single" w:color="000000" w:sz="4" w:space="0"/>
            </w:tcBorders>
            <w:shd w:val="clear" w:color="auto" w:fill="auto"/>
            <w:vAlign w:val="center"/>
          </w:tcPr>
          <w:p w14:paraId="557E7EB4">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知识产权（标准）具体名称</w:t>
            </w:r>
          </w:p>
        </w:tc>
        <w:tc>
          <w:tcPr>
            <w:tcW w:w="1018" w:type="dxa"/>
            <w:tcBorders>
              <w:top w:val="single" w:color="000000" w:sz="4" w:space="0"/>
              <w:left w:val="single" w:color="000000" w:sz="4" w:space="0"/>
              <w:bottom w:val="nil"/>
              <w:right w:val="single" w:color="000000" w:sz="4" w:space="0"/>
            </w:tcBorders>
            <w:shd w:val="clear" w:color="auto" w:fill="auto"/>
            <w:vAlign w:val="center"/>
          </w:tcPr>
          <w:p w14:paraId="14ED5C03">
            <w:pPr>
              <w:keepNext w:val="0"/>
              <w:keepLines w:val="0"/>
              <w:widowControl/>
              <w:suppressLineNumbers w:val="0"/>
              <w:jc w:val="center"/>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授权号（标准编号）</w:t>
            </w:r>
          </w:p>
        </w:tc>
        <w:tc>
          <w:tcPr>
            <w:tcW w:w="1855" w:type="dxa"/>
            <w:tcBorders>
              <w:top w:val="single" w:color="000000" w:sz="4" w:space="0"/>
              <w:left w:val="single" w:color="000000" w:sz="4" w:space="0"/>
              <w:bottom w:val="nil"/>
              <w:right w:val="single" w:color="000000" w:sz="4" w:space="0"/>
            </w:tcBorders>
            <w:shd w:val="clear" w:color="auto" w:fill="auto"/>
            <w:vAlign w:val="center"/>
          </w:tcPr>
          <w:p w14:paraId="19C22AE3">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highlight w:val="none"/>
                <w:u w:val="none"/>
                <w:lang w:val="en-US" w:eastAsia="zh-CN" w:bidi="ar"/>
              </w:rPr>
            </w:pPr>
            <w:r>
              <w:rPr>
                <w:rFonts w:hint="eastAsia" w:ascii="宋体" w:hAnsi="宋体" w:eastAsia="宋体" w:cs="宋体"/>
                <w:b/>
                <w:bCs/>
                <w:i w:val="0"/>
                <w:iCs w:val="0"/>
                <w:color w:val="000000"/>
                <w:kern w:val="0"/>
                <w:sz w:val="20"/>
                <w:szCs w:val="20"/>
                <w:highlight w:val="none"/>
                <w:u w:val="none"/>
                <w:lang w:val="en-US" w:eastAsia="zh-CN" w:bidi="ar"/>
              </w:rPr>
              <w:t>权利人（标准起草单位）</w:t>
            </w:r>
          </w:p>
        </w:tc>
        <w:tc>
          <w:tcPr>
            <w:tcW w:w="2291" w:type="dxa"/>
            <w:tcBorders>
              <w:top w:val="single" w:color="000000" w:sz="4" w:space="0"/>
              <w:left w:val="single" w:color="000000" w:sz="4" w:space="0"/>
              <w:bottom w:val="nil"/>
              <w:right w:val="single" w:color="000000" w:sz="4" w:space="0"/>
            </w:tcBorders>
            <w:shd w:val="clear" w:color="auto" w:fill="auto"/>
            <w:vAlign w:val="center"/>
          </w:tcPr>
          <w:p w14:paraId="3ECA79BC">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highlight w:val="none"/>
                <w:u w:val="none"/>
                <w:lang w:val="en-US" w:eastAsia="zh-CN" w:bidi="ar"/>
              </w:rPr>
            </w:pPr>
            <w:r>
              <w:rPr>
                <w:rFonts w:hint="eastAsia" w:ascii="宋体" w:hAnsi="宋体" w:eastAsia="宋体" w:cs="宋体"/>
                <w:b/>
                <w:bCs/>
                <w:i w:val="0"/>
                <w:iCs w:val="0"/>
                <w:color w:val="000000"/>
                <w:kern w:val="0"/>
                <w:sz w:val="20"/>
                <w:szCs w:val="20"/>
                <w:highlight w:val="none"/>
                <w:u w:val="none"/>
                <w:lang w:val="en-US" w:eastAsia="zh-CN" w:bidi="ar"/>
              </w:rPr>
              <w:t>发明人（标准起草人）</w:t>
            </w:r>
          </w:p>
        </w:tc>
        <w:tc>
          <w:tcPr>
            <w:tcW w:w="956" w:type="dxa"/>
            <w:tcBorders>
              <w:top w:val="single" w:color="000000" w:sz="4" w:space="0"/>
              <w:left w:val="single" w:color="000000" w:sz="4" w:space="0"/>
              <w:bottom w:val="nil"/>
              <w:right w:val="single" w:color="000000" w:sz="4" w:space="0"/>
            </w:tcBorders>
            <w:shd w:val="clear" w:color="auto" w:fill="auto"/>
            <w:vAlign w:val="center"/>
          </w:tcPr>
          <w:p w14:paraId="2C40A767">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highlight w:val="none"/>
                <w:u w:val="none"/>
                <w:lang w:val="en-US" w:eastAsia="zh-CN" w:bidi="ar"/>
              </w:rPr>
            </w:pPr>
            <w:r>
              <w:rPr>
                <w:rFonts w:hint="default" w:ascii="宋体" w:hAnsi="宋体" w:eastAsia="宋体" w:cs="宋体"/>
                <w:b/>
                <w:bCs/>
                <w:i w:val="0"/>
                <w:iCs w:val="0"/>
                <w:color w:val="000000"/>
                <w:kern w:val="0"/>
                <w:sz w:val="20"/>
                <w:szCs w:val="20"/>
                <w:highlight w:val="none"/>
                <w:u w:val="none"/>
                <w:lang w:val="en-US" w:eastAsia="zh-CN" w:bidi="ar"/>
              </w:rPr>
              <w:t>广西单位是否为原始权利人、起草人</w:t>
            </w:r>
          </w:p>
        </w:tc>
      </w:tr>
      <w:tr w14:paraId="16C294F0">
        <w:tblPrEx>
          <w:tblBorders>
            <w:top w:val="none" w:color="auto" w:sz="0" w:space="0"/>
            <w:left w:val="single" w:color="auto" w:sz="4"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6" w:type="dxa"/>
            <w:tcBorders>
              <w:top w:val="single" w:color="auto" w:sz="4" w:space="0"/>
              <w:bottom w:val="single" w:color="auto" w:sz="4" w:space="0"/>
              <w:right w:val="single" w:color="auto" w:sz="4" w:space="0"/>
            </w:tcBorders>
            <w:shd w:val="clear" w:color="auto" w:fill="auto"/>
            <w:noWrap/>
            <w:vAlign w:val="center"/>
          </w:tcPr>
          <w:p w14:paraId="7205469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w:t>
            </w:r>
          </w:p>
        </w:tc>
        <w:tc>
          <w:tcPr>
            <w:tcW w:w="1256" w:type="dxa"/>
            <w:tcBorders>
              <w:top w:val="single" w:color="000000" w:sz="4" w:space="0"/>
              <w:left w:val="single" w:color="auto" w:sz="4" w:space="0"/>
              <w:bottom w:val="single" w:color="000000" w:sz="4" w:space="0"/>
              <w:right w:val="single" w:color="000000" w:sz="4" w:space="0"/>
            </w:tcBorders>
            <w:shd w:val="clear" w:color="auto" w:fill="auto"/>
            <w:vAlign w:val="center"/>
          </w:tcPr>
          <w:p w14:paraId="57AEC9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发明专利</w:t>
            </w:r>
          </w:p>
        </w:tc>
        <w:tc>
          <w:tcPr>
            <w:tcW w:w="1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012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一种电驱动桥的电机总成和电驱动桥</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CC740">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default" w:ascii="宋体" w:hAnsi="宋体" w:eastAsia="宋体" w:cs="宋体"/>
                <w:i w:val="0"/>
                <w:iCs w:val="0"/>
                <w:color w:val="000000"/>
                <w:kern w:val="0"/>
                <w:sz w:val="20"/>
                <w:szCs w:val="20"/>
                <w:highlight w:val="none"/>
                <w:u w:val="none"/>
                <w:lang w:val="en-US" w:eastAsia="zh-CN" w:bidi="ar"/>
              </w:rPr>
              <w:t>CN113890258B</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9A22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广西汽车集团有限公司、</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柳州五菱汽车工业有限公司</w:t>
            </w: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861B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梁志;彭南江;莫建伟;陈振保;陈超宇;</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姚明良;杨杰;焦传梅</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C9A2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是</w:t>
            </w:r>
          </w:p>
        </w:tc>
      </w:tr>
      <w:tr w14:paraId="148970CA">
        <w:tblPrEx>
          <w:tblBorders>
            <w:top w:val="none" w:color="auto" w:sz="0" w:space="0"/>
            <w:left w:val="single" w:color="auto" w:sz="4"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6" w:type="dxa"/>
            <w:tcBorders>
              <w:top w:val="single" w:color="auto" w:sz="4" w:space="0"/>
              <w:bottom w:val="single" w:color="auto" w:sz="4" w:space="0"/>
              <w:right w:val="single" w:color="auto" w:sz="4" w:space="0"/>
            </w:tcBorders>
            <w:shd w:val="clear" w:color="auto" w:fill="auto"/>
            <w:noWrap/>
            <w:vAlign w:val="center"/>
          </w:tcPr>
          <w:p w14:paraId="27B5DA7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2</w:t>
            </w:r>
          </w:p>
        </w:tc>
        <w:tc>
          <w:tcPr>
            <w:tcW w:w="1256" w:type="dxa"/>
            <w:tcBorders>
              <w:top w:val="single" w:color="000000" w:sz="4" w:space="0"/>
              <w:left w:val="single" w:color="auto" w:sz="4" w:space="0"/>
              <w:bottom w:val="single" w:color="000000" w:sz="4" w:space="0"/>
              <w:right w:val="single" w:color="000000" w:sz="4" w:space="0"/>
            </w:tcBorders>
            <w:shd w:val="clear" w:color="auto" w:fill="auto"/>
            <w:vAlign w:val="center"/>
          </w:tcPr>
          <w:p w14:paraId="0C3BABE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发明专利</w:t>
            </w:r>
          </w:p>
        </w:tc>
        <w:tc>
          <w:tcPr>
            <w:tcW w:w="1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E35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一种减速器总成及减速器壳体组件</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4760B">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default" w:ascii="宋体" w:hAnsi="宋体" w:eastAsia="宋体" w:cs="宋体"/>
                <w:i w:val="0"/>
                <w:iCs w:val="0"/>
                <w:color w:val="000000"/>
                <w:kern w:val="0"/>
                <w:sz w:val="20"/>
                <w:szCs w:val="20"/>
                <w:highlight w:val="none"/>
                <w:u w:val="none"/>
                <w:lang w:val="en-US" w:eastAsia="zh-CN" w:bidi="ar"/>
              </w:rPr>
              <w:t>CN113007318B</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EFD3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广西汽车集团有限公司、</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柳州五菱汽车工业有限公司</w:t>
            </w: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CF76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刘鹏;彭南江;徐海军;杨杰;姚明良;黄宁;</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梁志;王显赫；许醇婷</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C05C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是</w:t>
            </w:r>
          </w:p>
        </w:tc>
      </w:tr>
      <w:tr w14:paraId="76C153F5">
        <w:tblPrEx>
          <w:tblBorders>
            <w:top w:val="none" w:color="auto" w:sz="0" w:space="0"/>
            <w:left w:val="single" w:color="auto" w:sz="4"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6" w:type="dxa"/>
            <w:tcBorders>
              <w:top w:val="single" w:color="auto" w:sz="4" w:space="0"/>
              <w:bottom w:val="single" w:color="auto" w:sz="4" w:space="0"/>
              <w:right w:val="single" w:color="auto" w:sz="4" w:space="0"/>
            </w:tcBorders>
            <w:shd w:val="clear" w:color="auto" w:fill="auto"/>
            <w:noWrap/>
            <w:vAlign w:val="center"/>
          </w:tcPr>
          <w:p w14:paraId="060E870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3</w:t>
            </w:r>
          </w:p>
        </w:tc>
        <w:tc>
          <w:tcPr>
            <w:tcW w:w="1256" w:type="dxa"/>
            <w:tcBorders>
              <w:top w:val="single" w:color="000000" w:sz="4" w:space="0"/>
              <w:left w:val="single" w:color="auto" w:sz="4" w:space="0"/>
              <w:bottom w:val="single" w:color="000000" w:sz="4" w:space="0"/>
              <w:right w:val="single" w:color="000000" w:sz="4" w:space="0"/>
            </w:tcBorders>
            <w:shd w:val="clear" w:color="auto" w:fill="auto"/>
            <w:vAlign w:val="center"/>
          </w:tcPr>
          <w:p w14:paraId="18C48D7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发明专利</w:t>
            </w:r>
          </w:p>
        </w:tc>
        <w:tc>
          <w:tcPr>
            <w:tcW w:w="1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909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一种车辆电子差速器和车辆</w:t>
            </w:r>
          </w:p>
        </w:tc>
        <w:tc>
          <w:tcPr>
            <w:tcW w:w="10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B2FBF">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default" w:ascii="宋体" w:hAnsi="宋体" w:eastAsia="宋体" w:cs="宋体"/>
                <w:i w:val="0"/>
                <w:iCs w:val="0"/>
                <w:color w:val="000000"/>
                <w:kern w:val="0"/>
                <w:sz w:val="20"/>
                <w:szCs w:val="20"/>
                <w:highlight w:val="none"/>
                <w:u w:val="none"/>
                <w:lang w:val="en-US" w:eastAsia="zh-CN" w:bidi="ar"/>
              </w:rPr>
              <w:t>CN118188780B</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1109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柳州五菱汽车工业有限公司</w:t>
            </w: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A24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陈衍标;莫伟忠;韦业枢;马果;莫淑君;</w:t>
            </w:r>
            <w:r>
              <w:rPr>
                <w:rFonts w:hint="eastAsia" w:ascii="宋体" w:hAnsi="宋体" w:eastAsia="宋体" w:cs="宋体"/>
                <w:i w:val="0"/>
                <w:iCs w:val="0"/>
                <w:color w:val="000000"/>
                <w:kern w:val="0"/>
                <w:sz w:val="20"/>
                <w:szCs w:val="20"/>
                <w:highlight w:val="none"/>
                <w:u w:val="none"/>
                <w:lang w:val="en-US" w:eastAsia="zh-CN" w:bidi="ar"/>
              </w:rPr>
              <w:br w:type="textWrapping"/>
            </w:r>
            <w:r>
              <w:rPr>
                <w:rFonts w:hint="eastAsia" w:ascii="宋体" w:hAnsi="宋体" w:eastAsia="宋体" w:cs="宋体"/>
                <w:i w:val="0"/>
                <w:iCs w:val="0"/>
                <w:color w:val="000000"/>
                <w:kern w:val="0"/>
                <w:sz w:val="20"/>
                <w:szCs w:val="20"/>
                <w:highlight w:val="none"/>
                <w:u w:val="none"/>
                <w:lang w:val="en-US" w:eastAsia="zh-CN" w:bidi="ar"/>
              </w:rPr>
              <w:t>玉勇志;黄恒仕;黄荣国</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A7A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是</w:t>
            </w:r>
          </w:p>
        </w:tc>
      </w:tr>
      <w:tr w14:paraId="6136B79B">
        <w:tblPrEx>
          <w:tblBorders>
            <w:top w:val="none" w:color="auto" w:sz="0" w:space="0"/>
            <w:left w:val="single" w:color="auto" w:sz="4"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6" w:type="dxa"/>
            <w:tcBorders>
              <w:top w:val="single" w:color="auto" w:sz="4" w:space="0"/>
              <w:bottom w:val="single" w:color="auto" w:sz="4" w:space="0"/>
              <w:right w:val="single" w:color="auto" w:sz="4" w:space="0"/>
            </w:tcBorders>
            <w:shd w:val="clear" w:color="auto" w:fill="auto"/>
            <w:noWrap/>
            <w:vAlign w:val="center"/>
          </w:tcPr>
          <w:p w14:paraId="569BA50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4</w:t>
            </w:r>
          </w:p>
        </w:tc>
        <w:tc>
          <w:tcPr>
            <w:tcW w:w="1256" w:type="dxa"/>
            <w:tcBorders>
              <w:top w:val="single" w:color="000000" w:sz="4" w:space="0"/>
              <w:left w:val="single" w:color="auto" w:sz="4" w:space="0"/>
              <w:bottom w:val="single" w:color="000000" w:sz="4" w:space="0"/>
              <w:right w:val="single" w:color="000000" w:sz="4" w:space="0"/>
            </w:tcBorders>
            <w:shd w:val="clear" w:color="auto" w:fill="auto"/>
            <w:vAlign w:val="center"/>
          </w:tcPr>
          <w:p w14:paraId="0A17470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发明专利</w:t>
            </w:r>
          </w:p>
        </w:tc>
        <w:tc>
          <w:tcPr>
            <w:tcW w:w="1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EE7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一体式电驱动桥试验系统及静扭强度的试验方法</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7B2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CN116577215B</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0F8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柳州五菱汽车工业有限公司</w:t>
            </w: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6FF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梁志;莫建伟;彭南江;陈超宇;何雯炎</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870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是</w:t>
            </w:r>
          </w:p>
        </w:tc>
      </w:tr>
      <w:tr w14:paraId="2EC85C2E">
        <w:tblPrEx>
          <w:tblBorders>
            <w:top w:val="none" w:color="auto" w:sz="0" w:space="0"/>
            <w:left w:val="single" w:color="auto" w:sz="4"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6" w:type="dxa"/>
            <w:tcBorders>
              <w:top w:val="single" w:color="auto" w:sz="4" w:space="0"/>
              <w:bottom w:val="single" w:color="auto" w:sz="4" w:space="0"/>
              <w:right w:val="single" w:color="auto" w:sz="4" w:space="0"/>
            </w:tcBorders>
            <w:shd w:val="clear" w:color="auto" w:fill="auto"/>
            <w:noWrap/>
            <w:vAlign w:val="center"/>
          </w:tcPr>
          <w:p w14:paraId="73060D9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5</w:t>
            </w:r>
          </w:p>
        </w:tc>
        <w:tc>
          <w:tcPr>
            <w:tcW w:w="1256" w:type="dxa"/>
            <w:tcBorders>
              <w:top w:val="single" w:color="000000" w:sz="4" w:space="0"/>
              <w:left w:val="single" w:color="auto" w:sz="4" w:space="0"/>
              <w:bottom w:val="single" w:color="000000" w:sz="4" w:space="0"/>
              <w:right w:val="single" w:color="000000" w:sz="4" w:space="0"/>
            </w:tcBorders>
            <w:shd w:val="clear" w:color="auto" w:fill="auto"/>
            <w:vAlign w:val="center"/>
          </w:tcPr>
          <w:p w14:paraId="6F926B1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发明专利</w:t>
            </w:r>
          </w:p>
        </w:tc>
        <w:tc>
          <w:tcPr>
            <w:tcW w:w="1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389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拼块式定子结构</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662C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CN115498799B</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788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苏州英磁新能源科技有限公司</w:t>
            </w: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7B8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裴瑞琳,张翔建,李丹,王杰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6D35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否</w:t>
            </w:r>
          </w:p>
        </w:tc>
      </w:tr>
      <w:tr w14:paraId="4DD7CC72">
        <w:tblPrEx>
          <w:tblBorders>
            <w:top w:val="none" w:color="auto" w:sz="0" w:space="0"/>
            <w:left w:val="single" w:color="auto" w:sz="4"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6" w:type="dxa"/>
            <w:tcBorders>
              <w:top w:val="single" w:color="auto" w:sz="4" w:space="0"/>
              <w:bottom w:val="single" w:color="auto" w:sz="4" w:space="0"/>
              <w:right w:val="single" w:color="auto" w:sz="4" w:space="0"/>
            </w:tcBorders>
            <w:shd w:val="clear" w:color="auto" w:fill="auto"/>
            <w:noWrap/>
            <w:vAlign w:val="center"/>
          </w:tcPr>
          <w:p w14:paraId="0088F59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6</w:t>
            </w:r>
          </w:p>
        </w:tc>
        <w:tc>
          <w:tcPr>
            <w:tcW w:w="1256" w:type="dxa"/>
            <w:tcBorders>
              <w:top w:val="single" w:color="000000" w:sz="4" w:space="0"/>
              <w:left w:val="single" w:color="auto" w:sz="4" w:space="0"/>
              <w:bottom w:val="single" w:color="000000" w:sz="4" w:space="0"/>
              <w:right w:val="single" w:color="000000" w:sz="4" w:space="0"/>
            </w:tcBorders>
            <w:shd w:val="clear" w:color="auto" w:fill="auto"/>
            <w:vAlign w:val="center"/>
          </w:tcPr>
          <w:p w14:paraId="4F599CA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发明专利</w:t>
            </w:r>
          </w:p>
        </w:tc>
        <w:tc>
          <w:tcPr>
            <w:tcW w:w="1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634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一种便于散热的电机结构</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4267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CN117424394B</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B73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苏州英磁新能源科技有限公司</w:t>
            </w: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4872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裴瑞琳,袁月顺,李军</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B03C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否</w:t>
            </w:r>
          </w:p>
        </w:tc>
      </w:tr>
      <w:tr w14:paraId="674125E2">
        <w:tblPrEx>
          <w:tblBorders>
            <w:top w:val="none" w:color="auto" w:sz="0" w:space="0"/>
            <w:left w:val="single" w:color="auto" w:sz="4"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6" w:type="dxa"/>
            <w:tcBorders>
              <w:top w:val="single" w:color="auto" w:sz="4" w:space="0"/>
              <w:bottom w:val="single" w:color="auto" w:sz="4" w:space="0"/>
              <w:right w:val="single" w:color="auto" w:sz="4" w:space="0"/>
            </w:tcBorders>
            <w:shd w:val="clear" w:color="auto" w:fill="auto"/>
            <w:noWrap/>
            <w:vAlign w:val="center"/>
          </w:tcPr>
          <w:p w14:paraId="1AFFFB0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7</w:t>
            </w:r>
          </w:p>
        </w:tc>
        <w:tc>
          <w:tcPr>
            <w:tcW w:w="1256" w:type="dxa"/>
            <w:tcBorders>
              <w:top w:val="single" w:color="000000" w:sz="4" w:space="0"/>
              <w:left w:val="single" w:color="auto" w:sz="4" w:space="0"/>
              <w:bottom w:val="single" w:color="000000" w:sz="4" w:space="0"/>
              <w:right w:val="single" w:color="000000" w:sz="4" w:space="0"/>
            </w:tcBorders>
            <w:shd w:val="clear" w:color="auto" w:fill="auto"/>
            <w:vAlign w:val="center"/>
          </w:tcPr>
          <w:p w14:paraId="1906547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发明专利</w:t>
            </w:r>
          </w:p>
        </w:tc>
        <w:tc>
          <w:tcPr>
            <w:tcW w:w="1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539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一种定子铁损测量装置</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D0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CN117471183A</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FE9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苏州英磁新能源科技有限公司</w:t>
            </w: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EF36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裴瑞琳,马德稷,曾鹿滨</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47B6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否</w:t>
            </w:r>
          </w:p>
        </w:tc>
      </w:tr>
      <w:tr w14:paraId="59C401CD">
        <w:tblPrEx>
          <w:tblBorders>
            <w:top w:val="none" w:color="auto" w:sz="0" w:space="0"/>
            <w:left w:val="single" w:color="auto" w:sz="4"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6" w:type="dxa"/>
            <w:tcBorders>
              <w:top w:val="single" w:color="auto" w:sz="4" w:space="0"/>
              <w:bottom w:val="single" w:color="auto" w:sz="4" w:space="0"/>
              <w:right w:val="single" w:color="auto" w:sz="4" w:space="0"/>
            </w:tcBorders>
            <w:shd w:val="clear" w:color="auto" w:fill="auto"/>
            <w:noWrap/>
            <w:vAlign w:val="center"/>
          </w:tcPr>
          <w:p w14:paraId="4BAE75C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8</w:t>
            </w:r>
          </w:p>
        </w:tc>
        <w:tc>
          <w:tcPr>
            <w:tcW w:w="1256" w:type="dxa"/>
            <w:tcBorders>
              <w:top w:val="single" w:color="000000" w:sz="4" w:space="0"/>
              <w:left w:val="single" w:color="auto" w:sz="4" w:space="0"/>
              <w:bottom w:val="single" w:color="000000" w:sz="4" w:space="0"/>
              <w:right w:val="single" w:color="000000" w:sz="4" w:space="0"/>
            </w:tcBorders>
            <w:shd w:val="clear" w:color="auto" w:fill="auto"/>
            <w:vAlign w:val="center"/>
          </w:tcPr>
          <w:p w14:paraId="643DA97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发明专利</w:t>
            </w:r>
          </w:p>
        </w:tc>
        <w:tc>
          <w:tcPr>
            <w:tcW w:w="1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5BDE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一种抗漏磁转子及其制备方法</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FA12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CN118074388B</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015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苏州英磁新能源科技有限公司</w:t>
            </w: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066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裴瑞琳,李雨霖,袁月顺,王安琪,曾鹿滨</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F61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否</w:t>
            </w:r>
          </w:p>
        </w:tc>
      </w:tr>
      <w:tr w14:paraId="4A425D52">
        <w:tblPrEx>
          <w:tblBorders>
            <w:top w:val="none" w:color="auto" w:sz="0" w:space="0"/>
            <w:left w:val="single" w:color="auto" w:sz="4"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6" w:type="dxa"/>
            <w:tcBorders>
              <w:top w:val="single" w:color="auto" w:sz="4" w:space="0"/>
              <w:bottom w:val="single" w:color="auto" w:sz="4" w:space="0"/>
              <w:right w:val="single" w:color="auto" w:sz="4" w:space="0"/>
            </w:tcBorders>
            <w:shd w:val="clear" w:color="auto" w:fill="auto"/>
            <w:noWrap/>
            <w:vAlign w:val="center"/>
          </w:tcPr>
          <w:p w14:paraId="3683A94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9</w:t>
            </w:r>
          </w:p>
        </w:tc>
        <w:tc>
          <w:tcPr>
            <w:tcW w:w="1256" w:type="dxa"/>
            <w:tcBorders>
              <w:top w:val="single" w:color="000000" w:sz="4" w:space="0"/>
              <w:left w:val="single" w:color="auto" w:sz="4" w:space="0"/>
              <w:bottom w:val="single" w:color="000000" w:sz="4" w:space="0"/>
              <w:right w:val="single" w:color="000000" w:sz="4" w:space="0"/>
            </w:tcBorders>
            <w:shd w:val="clear" w:color="auto" w:fill="auto"/>
            <w:vAlign w:val="center"/>
          </w:tcPr>
          <w:p w14:paraId="0BFE5F3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发明专利</w:t>
            </w:r>
          </w:p>
        </w:tc>
        <w:tc>
          <w:tcPr>
            <w:tcW w:w="1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FFCA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一种小型简易双工位螺旋锥齿轮加工设备</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7BDF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CN115709314B</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161B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柳州卓通汽车零部件有限公司</w:t>
            </w: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93E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赵马龙;高振强;陈维</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05B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是</w:t>
            </w:r>
          </w:p>
        </w:tc>
      </w:tr>
      <w:tr w14:paraId="79EDF5F7">
        <w:tblPrEx>
          <w:tblBorders>
            <w:top w:val="none" w:color="auto" w:sz="0" w:space="0"/>
            <w:left w:val="single" w:color="auto" w:sz="4"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6" w:type="dxa"/>
            <w:tcBorders>
              <w:top w:val="single" w:color="auto" w:sz="4" w:space="0"/>
              <w:bottom w:val="single" w:color="auto" w:sz="4" w:space="0"/>
              <w:right w:val="single" w:color="auto" w:sz="4" w:space="0"/>
            </w:tcBorders>
            <w:shd w:val="clear" w:color="auto" w:fill="auto"/>
            <w:noWrap/>
            <w:vAlign w:val="center"/>
          </w:tcPr>
          <w:p w14:paraId="0797AE6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10</w:t>
            </w:r>
          </w:p>
        </w:tc>
        <w:tc>
          <w:tcPr>
            <w:tcW w:w="1256" w:type="dxa"/>
            <w:tcBorders>
              <w:top w:val="single" w:color="000000" w:sz="4" w:space="0"/>
              <w:left w:val="single" w:color="auto" w:sz="4" w:space="0"/>
              <w:bottom w:val="single" w:color="000000" w:sz="4" w:space="0"/>
              <w:right w:val="single" w:color="000000" w:sz="4" w:space="0"/>
            </w:tcBorders>
            <w:shd w:val="clear" w:color="auto" w:fill="auto"/>
            <w:vAlign w:val="center"/>
          </w:tcPr>
          <w:p w14:paraId="43A2873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发明专利</w:t>
            </w:r>
          </w:p>
        </w:tc>
        <w:tc>
          <w:tcPr>
            <w:tcW w:w="1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9040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一种电驱独立悬架台架试验系统</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04F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CN115683669B</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05BD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柳州五菱汽车工业有限公司</w:t>
            </w: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6DB2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连昊;黄德佳;覃恒忠;徐海军</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099D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是</w:t>
            </w:r>
          </w:p>
        </w:tc>
      </w:tr>
      <w:tr w14:paraId="6433562C">
        <w:tblPrEx>
          <w:tblBorders>
            <w:top w:val="none" w:color="auto" w:sz="0" w:space="0"/>
            <w:left w:val="single" w:color="auto" w:sz="4"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6" w:type="dxa"/>
            <w:tcBorders>
              <w:top w:val="single" w:color="auto" w:sz="4" w:space="0"/>
              <w:bottom w:val="single" w:color="auto" w:sz="4" w:space="0"/>
              <w:right w:val="single" w:color="auto" w:sz="4" w:space="0"/>
            </w:tcBorders>
            <w:shd w:val="clear" w:color="auto" w:fill="auto"/>
            <w:noWrap/>
            <w:vAlign w:val="center"/>
          </w:tcPr>
          <w:p w14:paraId="4D0A4829">
            <w:pPr>
              <w:jc w:val="center"/>
              <w:rPr>
                <w:rFonts w:hint="eastAsia" w:ascii="Times New Roman" w:hAnsi="Times New Roman" w:eastAsia="宋体" w:cs="Times New Roman"/>
                <w:i w:val="0"/>
                <w:iCs w:val="0"/>
                <w:color w:val="000000"/>
                <w:sz w:val="22"/>
                <w:szCs w:val="22"/>
                <w:highlight w:val="none"/>
                <w:u w:val="none"/>
                <w:lang w:val="en-US" w:eastAsia="zh-CN"/>
              </w:rPr>
            </w:pPr>
            <w:r>
              <w:rPr>
                <w:rFonts w:hint="eastAsia" w:ascii="Times New Roman" w:hAnsi="Times New Roman" w:eastAsia="宋体" w:cs="Times New Roman"/>
                <w:i w:val="0"/>
                <w:iCs w:val="0"/>
                <w:color w:val="000000"/>
                <w:sz w:val="22"/>
                <w:szCs w:val="22"/>
                <w:highlight w:val="none"/>
                <w:u w:val="none"/>
                <w:lang w:val="en-US" w:eastAsia="zh-CN"/>
              </w:rPr>
              <w:t>序号</w:t>
            </w:r>
          </w:p>
        </w:tc>
        <w:tc>
          <w:tcPr>
            <w:tcW w:w="1256" w:type="dxa"/>
            <w:tcBorders>
              <w:top w:val="single" w:color="000000" w:sz="4" w:space="0"/>
              <w:left w:val="single" w:color="auto" w:sz="4" w:space="0"/>
              <w:bottom w:val="single" w:color="000000" w:sz="4" w:space="0"/>
              <w:right w:val="single" w:color="000000" w:sz="4" w:space="0"/>
            </w:tcBorders>
            <w:shd w:val="clear" w:color="auto" w:fill="auto"/>
            <w:vAlign w:val="center"/>
          </w:tcPr>
          <w:p w14:paraId="66757A6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论文名称</w:t>
            </w:r>
          </w:p>
        </w:tc>
        <w:tc>
          <w:tcPr>
            <w:tcW w:w="1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22C1">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刊名</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AC3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年卷页码(xx年xx卷xx页)</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5FBA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第一作者(含共同)/通讯作者</w:t>
            </w: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275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署名单位</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AF266">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default" w:ascii="宋体" w:hAnsi="宋体" w:eastAsia="宋体" w:cs="宋体"/>
                <w:i w:val="0"/>
                <w:iCs w:val="0"/>
                <w:color w:val="000000"/>
                <w:kern w:val="0"/>
                <w:sz w:val="20"/>
                <w:szCs w:val="20"/>
                <w:highlight w:val="none"/>
                <w:u w:val="none"/>
                <w:lang w:val="en-US" w:eastAsia="zh-CN" w:bidi="ar"/>
              </w:rPr>
              <w:t>广西单位是否署名</w:t>
            </w:r>
          </w:p>
        </w:tc>
      </w:tr>
      <w:tr w14:paraId="7D944554">
        <w:tblPrEx>
          <w:tblBorders>
            <w:top w:val="none" w:color="auto" w:sz="0" w:space="0"/>
            <w:left w:val="single" w:color="auto" w:sz="4"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6" w:type="dxa"/>
            <w:tcBorders>
              <w:top w:val="single" w:color="auto" w:sz="4" w:space="0"/>
              <w:bottom w:val="single" w:color="auto" w:sz="4" w:space="0"/>
              <w:right w:val="single" w:color="auto" w:sz="4" w:space="0"/>
            </w:tcBorders>
            <w:shd w:val="clear" w:color="auto" w:fill="auto"/>
            <w:noWrap/>
            <w:vAlign w:val="center"/>
          </w:tcPr>
          <w:p w14:paraId="7D7CBD1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11</w:t>
            </w:r>
          </w:p>
        </w:tc>
        <w:tc>
          <w:tcPr>
            <w:tcW w:w="1256" w:type="dxa"/>
            <w:tcBorders>
              <w:top w:val="single" w:color="000000" w:sz="4" w:space="0"/>
              <w:left w:val="single" w:color="auto" w:sz="4" w:space="0"/>
              <w:bottom w:val="single" w:color="000000" w:sz="4" w:space="0"/>
              <w:right w:val="single" w:color="000000" w:sz="4" w:space="0"/>
            </w:tcBorders>
            <w:shd w:val="clear" w:color="auto" w:fill="auto"/>
            <w:vAlign w:val="center"/>
          </w:tcPr>
          <w:p w14:paraId="3EBBCB5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RULPredictionBasedonxLSTM–TransformerNeuralNetworkforRollingElementBearingsUnderDifferentWorkingConditions</w:t>
            </w:r>
          </w:p>
        </w:tc>
        <w:tc>
          <w:tcPr>
            <w:tcW w:w="1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120C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Sensors</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9B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Sensors2026,26,1578</w:t>
            </w:r>
          </w:p>
        </w:tc>
        <w:tc>
          <w:tcPr>
            <w:tcW w:w="1855" w:type="dxa"/>
            <w:tcBorders>
              <w:top w:val="nil"/>
              <w:left w:val="single" w:color="000000" w:sz="4" w:space="0"/>
              <w:bottom w:val="single" w:color="000000" w:sz="4" w:space="0"/>
              <w:right w:val="single" w:color="000000" w:sz="4" w:space="0"/>
            </w:tcBorders>
            <w:shd w:val="clear" w:color="auto" w:fill="auto"/>
            <w:vAlign w:val="center"/>
          </w:tcPr>
          <w:p w14:paraId="2970FC50">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bidi="ar"/>
              </w:rPr>
              <w:t>RunzhongJiang/莫伟忠</w:t>
            </w:r>
          </w:p>
        </w:tc>
        <w:tc>
          <w:tcPr>
            <w:tcW w:w="2291" w:type="dxa"/>
            <w:tcBorders>
              <w:top w:val="nil"/>
              <w:left w:val="single" w:color="000000" w:sz="4" w:space="0"/>
              <w:bottom w:val="single" w:color="000000" w:sz="4" w:space="0"/>
              <w:right w:val="single" w:color="000000" w:sz="4" w:space="0"/>
            </w:tcBorders>
            <w:shd w:val="clear" w:color="auto" w:fill="auto"/>
            <w:vAlign w:val="center"/>
          </w:tcPr>
          <w:p w14:paraId="41D669A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广西大学、柳州五菱汽车工业有限公司</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647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是</w:t>
            </w:r>
          </w:p>
        </w:tc>
      </w:tr>
      <w:tr w14:paraId="2BE12A1C">
        <w:tblPrEx>
          <w:tblBorders>
            <w:top w:val="none" w:color="auto" w:sz="0" w:space="0"/>
            <w:left w:val="single" w:color="auto" w:sz="4"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6" w:type="dxa"/>
            <w:tcBorders>
              <w:top w:val="single" w:color="auto" w:sz="4" w:space="0"/>
              <w:bottom w:val="single" w:color="auto" w:sz="4" w:space="0"/>
              <w:right w:val="single" w:color="auto" w:sz="4" w:space="0"/>
            </w:tcBorders>
            <w:shd w:val="clear" w:color="auto" w:fill="auto"/>
            <w:noWrap/>
            <w:vAlign w:val="center"/>
          </w:tcPr>
          <w:p w14:paraId="18002CD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highlight w:val="none"/>
                <w:u w:val="none"/>
              </w:rPr>
            </w:pPr>
            <w:r>
              <w:rPr>
                <w:rFonts w:hint="default" w:ascii="Times New Roman" w:hAnsi="Times New Roman" w:eastAsia="宋体" w:cs="Times New Roman"/>
                <w:i w:val="0"/>
                <w:iCs w:val="0"/>
                <w:color w:val="000000"/>
                <w:kern w:val="0"/>
                <w:sz w:val="22"/>
                <w:szCs w:val="22"/>
                <w:highlight w:val="none"/>
                <w:u w:val="none"/>
                <w:lang w:val="en-US" w:eastAsia="zh-CN" w:bidi="ar"/>
              </w:rPr>
              <w:t>12</w:t>
            </w:r>
          </w:p>
        </w:tc>
        <w:tc>
          <w:tcPr>
            <w:tcW w:w="1256" w:type="dxa"/>
            <w:tcBorders>
              <w:top w:val="single" w:color="000000" w:sz="4" w:space="0"/>
              <w:left w:val="single" w:color="auto" w:sz="4" w:space="0"/>
              <w:bottom w:val="single" w:color="000000" w:sz="4" w:space="0"/>
              <w:right w:val="single" w:color="000000" w:sz="4" w:space="0"/>
            </w:tcBorders>
            <w:shd w:val="clear" w:color="auto" w:fill="auto"/>
            <w:vAlign w:val="center"/>
          </w:tcPr>
          <w:p w14:paraId="691FB21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基于响应曲面法与遗传算法的永磁同步电机转子辅助槽拓扑优化设计</w:t>
            </w:r>
          </w:p>
        </w:tc>
        <w:tc>
          <w:tcPr>
            <w:tcW w:w="1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5A5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轻工科技</w:t>
            </w:r>
          </w:p>
        </w:tc>
        <w:tc>
          <w:tcPr>
            <w:tcW w:w="1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91D5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2025年第41卷第4期</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377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rPr>
            </w:pPr>
            <w:r>
              <w:rPr>
                <w:rFonts w:hint="eastAsia" w:ascii="宋体" w:hAnsi="宋体" w:eastAsia="宋体" w:cs="宋体"/>
                <w:i w:val="0"/>
                <w:iCs w:val="0"/>
                <w:color w:val="000000"/>
                <w:kern w:val="0"/>
                <w:sz w:val="20"/>
                <w:szCs w:val="20"/>
                <w:highlight w:val="none"/>
                <w:u w:val="none"/>
                <w:lang w:val="en-US" w:eastAsia="zh-CN" w:bidi="ar"/>
              </w:rPr>
              <w:t>陈晓峰/马果</w:t>
            </w:r>
          </w:p>
        </w:tc>
        <w:tc>
          <w:tcPr>
            <w:tcW w:w="2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F339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柳州五菱汽车⼯业有限公司、桂林电⼦科技⼤学</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05B3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是</w:t>
            </w:r>
          </w:p>
        </w:tc>
      </w:tr>
    </w:tbl>
    <w:p w14:paraId="35C54890">
      <w:pPr>
        <w:pStyle w:val="12"/>
        <w:rPr>
          <w:rFonts w:ascii="Times New Roman" w:hAnsi="Times New Roman" w:eastAsia="黑体" w:cs="Times New Roman"/>
          <w:b/>
          <w:sz w:val="24"/>
          <w:highlight w:val="none"/>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helvetica">
    <w:altName w:val="FFont-Family"/>
    <w:panose1 w:val="00000000000000000000"/>
    <w:charset w:val="00"/>
    <w:family w:val="auto"/>
    <w:pitch w:val="default"/>
    <w:sig w:usb0="00000000" w:usb1="00000000" w:usb2="00000000" w:usb3="00000000" w:csb0="2000019F" w:csb1="4F010000"/>
  </w:font>
  <w:font w:name="SWAstro">
    <w:altName w:val="Segoe UI Semilight"/>
    <w:panose1 w:val="02000400000000000000"/>
    <w:charset w:val="00"/>
    <w:family w:val="auto"/>
    <w:pitch w:val="default"/>
    <w:sig w:usb0="00000000" w:usb1="00000000" w:usb2="00000000" w:usb3="00000000" w:csb0="00000001" w:csb1="00000000"/>
  </w:font>
  <w:font w:name="宋体-简">
    <w:altName w:val="宋体"/>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FFont-Family">
    <w:panose1 w:val="02000509000000000000"/>
    <w:charset w:val="00"/>
    <w:family w:val="auto"/>
    <w:pitch w:val="default"/>
    <w:sig w:usb0="00000001" w:usb1="00000000" w:usb2="00000000" w:usb3="00000000" w:csb0="00000001" w:csb1="00000000"/>
  </w:font>
  <w:font w:name="Segoe UI Semilight">
    <w:panose1 w:val="020B04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A253F4"/>
    <w:multiLevelType w:val="multilevel"/>
    <w:tmpl w:val="4BA253F4"/>
    <w:lvl w:ilvl="0" w:tentative="0">
      <w:start w:val="1"/>
      <w:numFmt w:val="decimal"/>
      <w:pStyle w:val="2"/>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0Yjg1YmE0ZDNhMzU4NGQ2ZWZlN2Q4MTI2NTI3ZWMifQ=="/>
  </w:docVars>
  <w:rsids>
    <w:rsidRoot w:val="4DD264DD"/>
    <w:rsid w:val="000C6F1E"/>
    <w:rsid w:val="001E2A3A"/>
    <w:rsid w:val="00205636"/>
    <w:rsid w:val="00206129"/>
    <w:rsid w:val="003F4914"/>
    <w:rsid w:val="005A3DFC"/>
    <w:rsid w:val="005D3E2A"/>
    <w:rsid w:val="006A7F4F"/>
    <w:rsid w:val="006F5FC1"/>
    <w:rsid w:val="00712A48"/>
    <w:rsid w:val="00730A3B"/>
    <w:rsid w:val="007C05FD"/>
    <w:rsid w:val="00857DE5"/>
    <w:rsid w:val="008E56A2"/>
    <w:rsid w:val="00993300"/>
    <w:rsid w:val="00AA775F"/>
    <w:rsid w:val="00AE73DD"/>
    <w:rsid w:val="00AF66A6"/>
    <w:rsid w:val="00C42D31"/>
    <w:rsid w:val="00C50DA1"/>
    <w:rsid w:val="00CA3AC9"/>
    <w:rsid w:val="00D41CA5"/>
    <w:rsid w:val="00DD3177"/>
    <w:rsid w:val="00E71953"/>
    <w:rsid w:val="00F24FCC"/>
    <w:rsid w:val="034A492C"/>
    <w:rsid w:val="04AC3F9B"/>
    <w:rsid w:val="05DB4947"/>
    <w:rsid w:val="063A1D84"/>
    <w:rsid w:val="07DC7F5D"/>
    <w:rsid w:val="087D297A"/>
    <w:rsid w:val="08A136D0"/>
    <w:rsid w:val="0ADD261E"/>
    <w:rsid w:val="0B626F71"/>
    <w:rsid w:val="0D077DD0"/>
    <w:rsid w:val="0D300D24"/>
    <w:rsid w:val="0E5011DB"/>
    <w:rsid w:val="0FEE6170"/>
    <w:rsid w:val="118F73BD"/>
    <w:rsid w:val="119F594A"/>
    <w:rsid w:val="12E106A8"/>
    <w:rsid w:val="14D44B46"/>
    <w:rsid w:val="157E9647"/>
    <w:rsid w:val="17B55412"/>
    <w:rsid w:val="17FE58B2"/>
    <w:rsid w:val="1846583E"/>
    <w:rsid w:val="184C3B0E"/>
    <w:rsid w:val="1AAF4592"/>
    <w:rsid w:val="1B5B0D00"/>
    <w:rsid w:val="1CF1A775"/>
    <w:rsid w:val="1D215D98"/>
    <w:rsid w:val="1D4C8A5A"/>
    <w:rsid w:val="1DDF4135"/>
    <w:rsid w:val="1DF849E4"/>
    <w:rsid w:val="1E2945F3"/>
    <w:rsid w:val="1FCE5B03"/>
    <w:rsid w:val="200336C9"/>
    <w:rsid w:val="21CF7850"/>
    <w:rsid w:val="21D47CFA"/>
    <w:rsid w:val="21DF177D"/>
    <w:rsid w:val="232F532E"/>
    <w:rsid w:val="262A1823"/>
    <w:rsid w:val="27388A56"/>
    <w:rsid w:val="27AB00BB"/>
    <w:rsid w:val="2AFD403A"/>
    <w:rsid w:val="2BBFC3BE"/>
    <w:rsid w:val="2BEA5201"/>
    <w:rsid w:val="2BFD263B"/>
    <w:rsid w:val="2E937BAF"/>
    <w:rsid w:val="2F7FAA01"/>
    <w:rsid w:val="2F9DACD6"/>
    <w:rsid w:val="32CFF69A"/>
    <w:rsid w:val="354F7A5C"/>
    <w:rsid w:val="36F52037"/>
    <w:rsid w:val="37660B04"/>
    <w:rsid w:val="377DBDAB"/>
    <w:rsid w:val="37E82428"/>
    <w:rsid w:val="381BB35B"/>
    <w:rsid w:val="39FF3A1C"/>
    <w:rsid w:val="3B7D096E"/>
    <w:rsid w:val="3B7E7859"/>
    <w:rsid w:val="3D5C7B44"/>
    <w:rsid w:val="3E9F7E70"/>
    <w:rsid w:val="3F7A24B6"/>
    <w:rsid w:val="40200920"/>
    <w:rsid w:val="44CE0CDE"/>
    <w:rsid w:val="49C2364F"/>
    <w:rsid w:val="4B606CA4"/>
    <w:rsid w:val="4B759FC5"/>
    <w:rsid w:val="4BBF84A3"/>
    <w:rsid w:val="4BF9D47F"/>
    <w:rsid w:val="4DD264DD"/>
    <w:rsid w:val="4DFB1876"/>
    <w:rsid w:val="53175C80"/>
    <w:rsid w:val="543B201B"/>
    <w:rsid w:val="54946CD8"/>
    <w:rsid w:val="54E91255"/>
    <w:rsid w:val="54ED2391"/>
    <w:rsid w:val="555F7705"/>
    <w:rsid w:val="56877A75"/>
    <w:rsid w:val="56FD3583"/>
    <w:rsid w:val="57D04A0C"/>
    <w:rsid w:val="57D63B45"/>
    <w:rsid w:val="5AD7476A"/>
    <w:rsid w:val="5BFC7C93"/>
    <w:rsid w:val="5DB5012C"/>
    <w:rsid w:val="5DB84FF3"/>
    <w:rsid w:val="5E3DC022"/>
    <w:rsid w:val="5EFF7B13"/>
    <w:rsid w:val="5F878863"/>
    <w:rsid w:val="5FEC2DAE"/>
    <w:rsid w:val="5FFBECFD"/>
    <w:rsid w:val="5FFE65CC"/>
    <w:rsid w:val="5FFF8C16"/>
    <w:rsid w:val="5FFFA4DE"/>
    <w:rsid w:val="60A05A85"/>
    <w:rsid w:val="60FDF9C2"/>
    <w:rsid w:val="62F433AC"/>
    <w:rsid w:val="62FA7A7A"/>
    <w:rsid w:val="64293540"/>
    <w:rsid w:val="6492182D"/>
    <w:rsid w:val="64CCA74F"/>
    <w:rsid w:val="67EC0EB8"/>
    <w:rsid w:val="687D2D0B"/>
    <w:rsid w:val="68AF2188"/>
    <w:rsid w:val="693826BE"/>
    <w:rsid w:val="6AC91D7D"/>
    <w:rsid w:val="6B56AE8F"/>
    <w:rsid w:val="6CFE978F"/>
    <w:rsid w:val="6D1B51D4"/>
    <w:rsid w:val="6D535020"/>
    <w:rsid w:val="6DABCC99"/>
    <w:rsid w:val="6E3F4FAE"/>
    <w:rsid w:val="6F7F89C7"/>
    <w:rsid w:val="6FD721E7"/>
    <w:rsid w:val="6FDE2A27"/>
    <w:rsid w:val="6FF36FAF"/>
    <w:rsid w:val="6FF7F728"/>
    <w:rsid w:val="73071C95"/>
    <w:rsid w:val="732C4B81"/>
    <w:rsid w:val="75DFAF8C"/>
    <w:rsid w:val="763703FC"/>
    <w:rsid w:val="76980E27"/>
    <w:rsid w:val="76DFBDCB"/>
    <w:rsid w:val="76ECE181"/>
    <w:rsid w:val="7771BD22"/>
    <w:rsid w:val="77CBB035"/>
    <w:rsid w:val="77CC9278"/>
    <w:rsid w:val="77DF25EE"/>
    <w:rsid w:val="79EAE588"/>
    <w:rsid w:val="79FF581F"/>
    <w:rsid w:val="7A3F8B6F"/>
    <w:rsid w:val="7A6B4D41"/>
    <w:rsid w:val="7A7D4EE4"/>
    <w:rsid w:val="7A966703"/>
    <w:rsid w:val="7AEF6CE2"/>
    <w:rsid w:val="7AFBEC67"/>
    <w:rsid w:val="7B15F5BD"/>
    <w:rsid w:val="7B7682D0"/>
    <w:rsid w:val="7B79D5CB"/>
    <w:rsid w:val="7BFCD53C"/>
    <w:rsid w:val="7BFE6F3A"/>
    <w:rsid w:val="7BFFF8A8"/>
    <w:rsid w:val="7C175EEE"/>
    <w:rsid w:val="7C1B2CAB"/>
    <w:rsid w:val="7CD406E2"/>
    <w:rsid w:val="7D283C84"/>
    <w:rsid w:val="7D670E09"/>
    <w:rsid w:val="7DF3B230"/>
    <w:rsid w:val="7E3FB552"/>
    <w:rsid w:val="7E6BCACD"/>
    <w:rsid w:val="7EB91041"/>
    <w:rsid w:val="7ECF16E5"/>
    <w:rsid w:val="7EFF355D"/>
    <w:rsid w:val="7F3FED73"/>
    <w:rsid w:val="7F772344"/>
    <w:rsid w:val="7FAF7166"/>
    <w:rsid w:val="7FCA037C"/>
    <w:rsid w:val="7FCB78A8"/>
    <w:rsid w:val="7FCF709D"/>
    <w:rsid w:val="7FDFD107"/>
    <w:rsid w:val="7FDFD533"/>
    <w:rsid w:val="7FE44A14"/>
    <w:rsid w:val="7FFDFB3B"/>
    <w:rsid w:val="9DEFAF57"/>
    <w:rsid w:val="9EEE1C0D"/>
    <w:rsid w:val="9FFBDF52"/>
    <w:rsid w:val="9FFF8D83"/>
    <w:rsid w:val="A5BFBD9D"/>
    <w:rsid w:val="A5FFF337"/>
    <w:rsid w:val="A72FA60D"/>
    <w:rsid w:val="AADF14A6"/>
    <w:rsid w:val="ABAD627B"/>
    <w:rsid w:val="B4DFE66F"/>
    <w:rsid w:val="B7798662"/>
    <w:rsid w:val="B867F2F1"/>
    <w:rsid w:val="B9867AA4"/>
    <w:rsid w:val="BC6C1402"/>
    <w:rsid w:val="BEFF59D9"/>
    <w:rsid w:val="BF5B4786"/>
    <w:rsid w:val="BF7F3407"/>
    <w:rsid w:val="BFBD226B"/>
    <w:rsid w:val="BFC75256"/>
    <w:rsid w:val="BFF5993A"/>
    <w:rsid w:val="BFFFE76D"/>
    <w:rsid w:val="D2FF8A67"/>
    <w:rsid w:val="D3BDF231"/>
    <w:rsid w:val="D751D130"/>
    <w:rsid w:val="DAF76A41"/>
    <w:rsid w:val="DCBB1A26"/>
    <w:rsid w:val="DD37771C"/>
    <w:rsid w:val="DD7FA6AC"/>
    <w:rsid w:val="DE1A0451"/>
    <w:rsid w:val="DEB78F3B"/>
    <w:rsid w:val="DEEB5E3B"/>
    <w:rsid w:val="DEF83635"/>
    <w:rsid w:val="DF7EEFE1"/>
    <w:rsid w:val="DFEB16E6"/>
    <w:rsid w:val="DFFB7950"/>
    <w:rsid w:val="DFFF7F35"/>
    <w:rsid w:val="E5BEF3CA"/>
    <w:rsid w:val="E77F9854"/>
    <w:rsid w:val="E7DF6BFD"/>
    <w:rsid w:val="E8B6DC3F"/>
    <w:rsid w:val="ED776E85"/>
    <w:rsid w:val="EDD73685"/>
    <w:rsid w:val="EE7B144C"/>
    <w:rsid w:val="EFB4D4B1"/>
    <w:rsid w:val="F1BBD018"/>
    <w:rsid w:val="F53FE514"/>
    <w:rsid w:val="F6E7ABD2"/>
    <w:rsid w:val="F6F35DA4"/>
    <w:rsid w:val="F777DE5D"/>
    <w:rsid w:val="F77EA868"/>
    <w:rsid w:val="F7BF4B35"/>
    <w:rsid w:val="F7EF98B2"/>
    <w:rsid w:val="F7FA02AC"/>
    <w:rsid w:val="F7FFEA9B"/>
    <w:rsid w:val="FA972481"/>
    <w:rsid w:val="FACBC94F"/>
    <w:rsid w:val="FADF3B11"/>
    <w:rsid w:val="FAE59C89"/>
    <w:rsid w:val="FAF1073B"/>
    <w:rsid w:val="FBD6F739"/>
    <w:rsid w:val="FBEB579B"/>
    <w:rsid w:val="FBEBA671"/>
    <w:rsid w:val="FCFF3BEA"/>
    <w:rsid w:val="FD7284C0"/>
    <w:rsid w:val="FDAF7E6E"/>
    <w:rsid w:val="FDFEE46E"/>
    <w:rsid w:val="FECCAAE8"/>
    <w:rsid w:val="FEE815CE"/>
    <w:rsid w:val="FEEFF45C"/>
    <w:rsid w:val="FEFE4C98"/>
    <w:rsid w:val="FEFF1FC0"/>
    <w:rsid w:val="FEFFA188"/>
    <w:rsid w:val="FF2F2C2A"/>
    <w:rsid w:val="FF7C25A2"/>
    <w:rsid w:val="FF7D7039"/>
    <w:rsid w:val="FFF7527E"/>
    <w:rsid w:val="FFFA1F77"/>
    <w:rsid w:val="FFFD7566"/>
    <w:rsid w:val="FFFD9E58"/>
    <w:rsid w:val="FFFE6BF1"/>
    <w:rsid w:val="FFFED738"/>
    <w:rsid w:val="FFFFE3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9"/>
    <w:qFormat/>
    <w:uiPriority w:val="0"/>
    <w:pPr>
      <w:numPr>
        <w:ilvl w:val="0"/>
        <w:numId w:val="1"/>
      </w:numPr>
      <w:autoSpaceDE w:val="0"/>
      <w:autoSpaceDN w:val="0"/>
      <w:adjustRightInd w:val="0"/>
      <w:spacing w:after="120"/>
      <w:ind w:left="0" w:firstLine="0"/>
      <w:jc w:val="center"/>
      <w:outlineLvl w:val="0"/>
    </w:pPr>
    <w:rPr>
      <w:rFonts w:ascii="方正小标宋_GBK" w:hAnsi="Times New Roman" w:eastAsia="方正小标宋_GBK" w:cs="宋体"/>
      <w:kern w:val="0"/>
      <w:sz w:val="32"/>
      <w:szCs w:val="32"/>
    </w:rPr>
  </w:style>
  <w:style w:type="paragraph" w:styleId="3">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Plain Text"/>
    <w:basedOn w:val="1"/>
    <w:qFormat/>
    <w:uiPriority w:val="0"/>
    <w:rPr>
      <w:rFonts w:ascii="宋体" w:hAnsi="Courier New" w:eastAsia="宋体"/>
      <w:szCs w:val="21"/>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tabs>
        <w:tab w:val="center" w:pos="4153"/>
        <w:tab w:val="right" w:pos="8306"/>
      </w:tabs>
      <w:snapToGrid w:val="0"/>
      <w:jc w:val="center"/>
    </w:pPr>
    <w:rPr>
      <w:sz w:val="18"/>
      <w:szCs w:val="18"/>
    </w:rPr>
  </w:style>
  <w:style w:type="paragraph" w:styleId="7">
    <w:name w:val="Normal (Web)"/>
    <w:basedOn w:val="1"/>
    <w:qFormat/>
    <w:uiPriority w:val="0"/>
    <w:rPr>
      <w:sz w:val="24"/>
    </w:rPr>
  </w:style>
  <w:style w:type="paragraph" w:styleId="8">
    <w:name w:val="Title"/>
    <w:basedOn w:val="1"/>
    <w:next w:val="1"/>
    <w:qFormat/>
    <w:uiPriority w:val="0"/>
    <w:pPr>
      <w:spacing w:before="240" w:after="60"/>
      <w:jc w:val="center"/>
      <w:outlineLvl w:val="0"/>
    </w:pPr>
    <w:rPr>
      <w:rFonts w:ascii="Cambria" w:hAnsi="Cambria" w:eastAsia="宋体" w:cs="Times New Roman"/>
      <w:b/>
      <w:bCs/>
      <w:szCs w:val="32"/>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3">
    <w:name w:val="17"/>
    <w:basedOn w:val="11"/>
    <w:qFormat/>
    <w:uiPriority w:val="0"/>
    <w:rPr>
      <w:rFonts w:hint="eastAsia" w:ascii="仿宋_GB2312" w:eastAsia="仿宋_GB2312"/>
      <w:b/>
      <w:bCs/>
      <w:kern w:val="44"/>
      <w:sz w:val="44"/>
      <w:szCs w:val="44"/>
    </w:rPr>
  </w:style>
  <w:style w:type="character" w:customStyle="1" w:styleId="14">
    <w:name w:val="页眉 字符"/>
    <w:basedOn w:val="11"/>
    <w:link w:val="6"/>
    <w:qFormat/>
    <w:uiPriority w:val="0"/>
    <w:rPr>
      <w:rFonts w:asciiTheme="minorHAnsi" w:hAnsiTheme="minorHAnsi" w:eastAsiaTheme="minorEastAsia" w:cstheme="minorBidi"/>
      <w:kern w:val="2"/>
      <w:sz w:val="18"/>
      <w:szCs w:val="18"/>
    </w:rPr>
  </w:style>
  <w:style w:type="character" w:customStyle="1" w:styleId="15">
    <w:name w:val="页脚 字符"/>
    <w:basedOn w:val="11"/>
    <w:link w:val="5"/>
    <w:qFormat/>
    <w:uiPriority w:val="0"/>
    <w:rPr>
      <w:rFonts w:asciiTheme="minorHAnsi" w:hAnsiTheme="minorHAnsi" w:eastAsiaTheme="minorEastAsia" w:cstheme="minorBidi"/>
      <w:kern w:val="2"/>
      <w:sz w:val="18"/>
      <w:szCs w:val="18"/>
    </w:rPr>
  </w:style>
  <w:style w:type="paragraph" w:customStyle="1" w:styleId="16">
    <w:name w:val="p1"/>
    <w:basedOn w:val="1"/>
    <w:qFormat/>
    <w:uiPriority w:val="0"/>
    <w:pPr>
      <w:spacing w:before="0" w:beforeAutospacing="0" w:after="0" w:afterAutospacing="0"/>
      <w:ind w:left="0" w:right="0"/>
      <w:jc w:val="left"/>
    </w:pPr>
    <w:rPr>
      <w:rFonts w:ascii="helvetica" w:hAnsi="helvetica" w:eastAsia="helvetica" w:cs="helvetica"/>
      <w:color w:val="000000"/>
      <w:kern w:val="0"/>
      <w:sz w:val="24"/>
      <w:szCs w:val="24"/>
      <w:lang w:val="en-US" w:eastAsia="zh-CN" w:bidi="ar"/>
    </w:rPr>
  </w:style>
  <w:style w:type="character" w:customStyle="1" w:styleId="17">
    <w:name w:val="font51"/>
    <w:basedOn w:val="11"/>
    <w:qFormat/>
    <w:uiPriority w:val="0"/>
    <w:rPr>
      <w:rFonts w:ascii="Calibri" w:hAnsi="Calibri" w:cs="Calibri"/>
      <w:color w:val="00B0F0"/>
      <w:sz w:val="24"/>
      <w:szCs w:val="24"/>
      <w:u w:val="none"/>
    </w:rPr>
  </w:style>
  <w:style w:type="character" w:customStyle="1" w:styleId="18">
    <w:name w:val="font61"/>
    <w:basedOn w:val="11"/>
    <w:qFormat/>
    <w:uiPriority w:val="0"/>
    <w:rPr>
      <w:rFonts w:hint="eastAsia" w:ascii="宋体-简" w:hAnsi="宋体-简" w:eastAsia="宋体-简" w:cs="宋体-简"/>
      <w:color w:val="000000"/>
      <w:sz w:val="24"/>
      <w:szCs w:val="24"/>
      <w:u w:val="none"/>
    </w:rPr>
  </w:style>
  <w:style w:type="character" w:customStyle="1" w:styleId="19">
    <w:name w:val="font71"/>
    <w:basedOn w:val="11"/>
    <w:qFormat/>
    <w:uiPriority w:val="0"/>
    <w:rPr>
      <w:rFonts w:hint="default" w:ascii="Calibri" w:hAnsi="Calibri" w:cs="Calibri"/>
      <w:color w:val="000000"/>
      <w:sz w:val="24"/>
      <w:szCs w:val="24"/>
      <w:u w:val="none"/>
    </w:rPr>
  </w:style>
  <w:style w:type="character" w:customStyle="1" w:styleId="20">
    <w:name w:val="font11"/>
    <w:basedOn w:val="11"/>
    <w:qFormat/>
    <w:uiPriority w:val="0"/>
    <w:rPr>
      <w:rFonts w:hint="eastAsia" w:ascii="宋体-简" w:hAnsi="宋体-简" w:eastAsia="宋体-简" w:cs="宋体-简"/>
      <w:color w:val="00B0F0"/>
      <w:sz w:val="24"/>
      <w:szCs w:val="24"/>
      <w:u w:val="none"/>
    </w:rPr>
  </w:style>
  <w:style w:type="character" w:customStyle="1" w:styleId="21">
    <w:name w:val="font41"/>
    <w:basedOn w:val="11"/>
    <w:qFormat/>
    <w:uiPriority w:val="0"/>
    <w:rPr>
      <w:rFonts w:hint="eastAsia" w:ascii="宋体-简" w:hAnsi="宋体-简" w:eastAsia="宋体-简" w:cs="宋体-简"/>
      <w:color w:val="000000"/>
      <w:sz w:val="24"/>
      <w:szCs w:val="24"/>
      <w:u w:val="none"/>
    </w:rPr>
  </w:style>
  <w:style w:type="character" w:customStyle="1" w:styleId="22">
    <w:name w:val="font81"/>
    <w:basedOn w:val="11"/>
    <w:qFormat/>
    <w:uiPriority w:val="0"/>
    <w:rPr>
      <w:rFonts w:hint="eastAsia" w:ascii="宋体" w:hAnsi="宋体" w:eastAsia="宋体" w:cs="宋体"/>
      <w:color w:val="000000"/>
      <w:sz w:val="24"/>
      <w:szCs w:val="24"/>
      <w:u w:val="none"/>
    </w:rPr>
  </w:style>
  <w:style w:type="character" w:customStyle="1" w:styleId="23">
    <w:name w:val="font31"/>
    <w:basedOn w:val="11"/>
    <w:qFormat/>
    <w:uiPriority w:val="0"/>
    <w:rPr>
      <w:rFonts w:ascii="Calibri" w:hAnsi="Calibri" w:cs="Calibri"/>
      <w:color w:val="000000"/>
      <w:sz w:val="24"/>
      <w:szCs w:val="24"/>
      <w:u w:val="none"/>
    </w:rPr>
  </w:style>
  <w:style w:type="character" w:customStyle="1" w:styleId="24">
    <w:name w:val="s1"/>
    <w:basedOn w:val="11"/>
    <w:qFormat/>
    <w:uiPriority w:val="0"/>
    <w:rPr>
      <w:rFonts w:hint="default" w:ascii="helvetica" w:hAnsi="helvetica" w:eastAsia="helvetica" w:cs="helvetica"/>
      <w:sz w:val="24"/>
      <w:szCs w:val="24"/>
    </w:rPr>
  </w:style>
  <w:style w:type="character" w:customStyle="1" w:styleId="25">
    <w:name w:val="font01"/>
    <w:basedOn w:val="11"/>
    <w:qFormat/>
    <w:uiPriority w:val="0"/>
    <w:rPr>
      <w:rFonts w:hint="eastAsia" w:ascii="宋体" w:hAnsi="宋体" w:eastAsia="宋体" w:cs="宋体"/>
      <w:color w:val="000000"/>
      <w:sz w:val="22"/>
      <w:szCs w:val="22"/>
      <w:u w:val="none"/>
    </w:rPr>
  </w:style>
  <w:style w:type="character" w:customStyle="1" w:styleId="26">
    <w:name w:val="font131"/>
    <w:basedOn w:val="11"/>
    <w:qFormat/>
    <w:uiPriority w:val="0"/>
    <w:rPr>
      <w:rFonts w:hint="default" w:ascii="Times New Roman" w:hAnsi="Times New Roman" w:cs="Times New Roman"/>
      <w:b/>
      <w:bCs/>
      <w:color w:val="000000"/>
      <w:sz w:val="20"/>
      <w:szCs w:val="20"/>
      <w:u w:val="none"/>
    </w:rPr>
  </w:style>
  <w:style w:type="character" w:customStyle="1" w:styleId="27">
    <w:name w:val="font121"/>
    <w:basedOn w:val="11"/>
    <w:qFormat/>
    <w:uiPriority w:val="0"/>
    <w:rPr>
      <w:rFonts w:hint="default" w:ascii="Times New Roman" w:hAnsi="Times New Roman" w:cs="Times New Roman"/>
      <w:b/>
      <w:bCs/>
      <w:color w:val="000000"/>
      <w:sz w:val="20"/>
      <w:szCs w:val="20"/>
      <w:u w:val="none"/>
    </w:rPr>
  </w:style>
  <w:style w:type="paragraph" w:styleId="28">
    <w:name w:val="List Paragraph"/>
    <w:basedOn w:val="1"/>
    <w:qFormat/>
    <w:uiPriority w:val="34"/>
    <w:pPr>
      <w:ind w:firstLine="420" w:firstLineChars="200"/>
    </w:pPr>
  </w:style>
  <w:style w:type="character" w:customStyle="1" w:styleId="29">
    <w:name w:val="标题 1 字符"/>
    <w:basedOn w:val="11"/>
    <w:link w:val="2"/>
    <w:qFormat/>
    <w:uiPriority w:val="0"/>
    <w:rPr>
      <w:rFonts w:ascii="方正小标宋_GBK" w:hAnsi="Times New Roman" w:eastAsia="方正小标宋_GBK" w:cs="宋体"/>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u\Library\Containers\com.kingsoft.wpsoffice.mac\Data\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4</Pages>
  <Words>3434</Words>
  <Characters>3978</Characters>
  <Lines>379</Lines>
  <Paragraphs>205</Paragraphs>
  <TotalTime>9</TotalTime>
  <ScaleCrop>false</ScaleCrop>
  <LinksUpToDate>false</LinksUpToDate>
  <CharactersWithSpaces>4014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2018-04-30T18:51:00Z</dcterms:created>
  <dc:creator>amd</dc:creator>
  <cp:lastModifiedBy>平台科</cp:lastModifiedBy>
  <dcterms:modified xsi:type="dcterms:W3CDTF">2026-10-20T02:13:31Z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79A15942CDA04472A86F7CF780BF5E01_13</vt:lpwstr>
  </property>
  <property fmtid="{D5CDD505-2E9C-101B-9397-08002B2CF9AE}" pid="4" name="KSOTemplateDocerSaveRecord">
    <vt:lpwstr>eyJoZGlkIjoiMmVmNGEzMTNjMTkzYjAwMGNhNDkyNzZhMmM5OWE2MjMiLCJ1c2VySWQiOiIyNjE4NTk3NjAifQ==</vt:lpwstr>
  </property>
</Properties>
</file>