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457F1D">
      <w:pPr>
        <w:keepNext w:val="0"/>
        <w:keepLines w:val="0"/>
        <w:widowControl/>
        <w:suppressLineNumbers w:val="0"/>
        <w:ind w:firstLine="803" w:firstLineChars="200"/>
        <w:jc w:val="center"/>
        <w:rPr>
          <w:rFonts w:hint="default" w:ascii="宋体" w:hAnsi="宋体" w:eastAsia="宋体" w:cs="宋体"/>
          <w:b/>
          <w:bCs/>
          <w:kern w:val="0"/>
          <w:sz w:val="40"/>
          <w:szCs w:val="40"/>
          <w:lang w:val="en-US" w:eastAsia="zh-CN" w:bidi="ar"/>
        </w:rPr>
      </w:pPr>
      <w:r>
        <w:rPr>
          <w:rFonts w:hint="eastAsia" w:ascii="宋体" w:hAnsi="宋体" w:eastAsia="宋体" w:cs="宋体"/>
          <w:b/>
          <w:bCs/>
          <w:kern w:val="0"/>
          <w:sz w:val="40"/>
          <w:szCs w:val="40"/>
          <w:lang w:val="en-US" w:eastAsia="zh-CN" w:bidi="ar"/>
        </w:rPr>
        <w:t>刘承焕基本情况和主要事迹</w:t>
      </w:r>
      <w:bookmarkStart w:id="0" w:name="_GoBack"/>
      <w:bookmarkEnd w:id="0"/>
    </w:p>
    <w:p w14:paraId="30FDFD37">
      <w:pPr>
        <w:keepNext w:val="0"/>
        <w:keepLines w:val="0"/>
        <w:widowControl/>
        <w:suppressLineNumbers w:val="0"/>
        <w:ind w:firstLine="560" w:firstLineChars="200"/>
        <w:jc w:val="left"/>
        <w:rPr>
          <w:sz w:val="28"/>
          <w:szCs w:val="28"/>
        </w:rPr>
      </w:pPr>
      <w:r>
        <w:rPr>
          <w:rFonts w:ascii="宋体" w:hAnsi="宋体" w:eastAsia="宋体" w:cs="宋体"/>
          <w:kern w:val="0"/>
          <w:sz w:val="28"/>
          <w:szCs w:val="28"/>
          <w:lang w:val="en-US" w:eastAsia="zh-CN" w:bidi="ar"/>
        </w:rPr>
        <w:t>刘承焕</w:t>
      </w:r>
      <w:r>
        <w:rPr>
          <w:rFonts w:hint="eastAsia" w:ascii="宋体" w:hAnsi="宋体" w:eastAsia="宋体" w:cs="宋体"/>
          <w:kern w:val="0"/>
          <w:sz w:val="28"/>
          <w:szCs w:val="28"/>
          <w:lang w:val="en-US" w:eastAsia="zh-CN" w:bidi="ar"/>
        </w:rPr>
        <w:t>，</w:t>
      </w:r>
      <w:r>
        <w:rPr>
          <w:rFonts w:ascii="宋体" w:hAnsi="宋体" w:eastAsia="宋体" w:cs="宋体"/>
          <w:kern w:val="0"/>
          <w:sz w:val="28"/>
          <w:szCs w:val="28"/>
          <w:lang w:val="en-US" w:eastAsia="zh-CN" w:bidi="ar"/>
        </w:rPr>
        <w:t>教授毕业于陕西财经学院，厦门大学访问学者、广西财政厅会计信息化咨询专家，用友ERP高级培训师。承担《会计信息化软件应用》、《中级财务会计》、《XBRL系统应用》等课程。</w:t>
      </w:r>
    </w:p>
    <w:p w14:paraId="5618EF2B">
      <w:pPr>
        <w:keepNext w:val="0"/>
        <w:keepLines w:val="0"/>
        <w:widowControl/>
        <w:suppressLineNumbers w:val="0"/>
        <w:ind w:firstLine="560" w:firstLineChars="200"/>
        <w:jc w:val="left"/>
        <w:rPr>
          <w:sz w:val="28"/>
          <w:szCs w:val="28"/>
        </w:rPr>
      </w:pPr>
      <w:r>
        <w:rPr>
          <w:rFonts w:ascii="宋体" w:hAnsi="宋体" w:eastAsia="宋体" w:cs="宋体"/>
          <w:kern w:val="0"/>
          <w:sz w:val="28"/>
          <w:szCs w:val="28"/>
          <w:lang w:val="en-US" w:eastAsia="zh-CN" w:bidi="ar"/>
        </w:rPr>
        <w:t>荣获桂林电子科技大学本科教学质量优秀一等奖5次。主持完成了广西哲学社会科学十五规划研究课题“广西旅游业信息化发展战略研究”；广西教育厅课题“制造业管理信息化”；广西会计人才小高地课题“XBRL实施推广问题研究”等10项目（获得一等奖2项，三等奖3项；指导研究生、本科生完成了多项创新计划项目。</w:t>
      </w:r>
    </w:p>
    <w:p w14:paraId="41E46AAB">
      <w:pPr>
        <w:keepNext w:val="0"/>
        <w:keepLines w:val="0"/>
        <w:widowControl/>
        <w:suppressLineNumbers w:val="0"/>
        <w:ind w:firstLine="560" w:firstLineChars="200"/>
        <w:jc w:val="left"/>
        <w:rPr>
          <w:sz w:val="28"/>
          <w:szCs w:val="28"/>
        </w:rPr>
      </w:pPr>
      <w:r>
        <w:rPr>
          <w:rFonts w:ascii="宋体" w:hAnsi="宋体" w:eastAsia="宋体" w:cs="宋体"/>
          <w:kern w:val="0"/>
          <w:sz w:val="28"/>
          <w:szCs w:val="28"/>
          <w:lang w:val="en-US" w:eastAsia="zh-CN" w:bidi="ar"/>
        </w:rPr>
        <w:t>发表学术论文共计60余篇，独著篇著25篇，CSSI来源期刊3篇，人大复印资料全文收录2篇。指导学生参加各种全国性学科竞赛取得优异成绩，其中："第一届全国应用型本科会计技能竞赛"中获得全国个人一等奖三项；第十届"新道杯"大学生创新会计技能大赛，获得自治区一等奖，国家二等奖；首届"能源杯"全国大学生财会技能挑战赛，荣获团体三等奖； 第八届国际互联网+企业赛道自治区银奖；主编出版学术专著1部，主编本科生教材3部。</w:t>
      </w:r>
    </w:p>
    <w:p w14:paraId="72D62DE6">
      <w:pPr>
        <w:keepNext w:val="0"/>
        <w:keepLines w:val="0"/>
        <w:widowControl/>
        <w:suppressLineNumbers w:val="0"/>
        <w:ind w:firstLine="560" w:firstLineChars="200"/>
        <w:jc w:val="left"/>
      </w:pPr>
      <w:r>
        <w:rPr>
          <w:rFonts w:ascii="宋体" w:hAnsi="宋体" w:eastAsia="宋体" w:cs="宋体"/>
          <w:kern w:val="0"/>
          <w:sz w:val="28"/>
          <w:szCs w:val="28"/>
          <w:lang w:val="en-US" w:eastAsia="zh-CN" w:bidi="ar"/>
        </w:rPr>
        <w:t>2020年1月，负责的《中级财务会计》课程获得是广西壮族自治区一流线下本科课程、2021年获得自治区级课程思政示范课称号。2025年12月，获得国家级一流线下本科课程。这是整个广西区迄今为止第一个也是唯一一个会计类国家一流本科课程。2024年获得桂林电子科技大学最受学生生喜爱的老师称号</w:t>
      </w:r>
      <w:r>
        <w:rPr>
          <w:rFonts w:ascii="宋体" w:hAnsi="宋体" w:eastAsia="宋体" w:cs="宋体"/>
          <w:kern w:val="0"/>
          <w:sz w:val="24"/>
          <w:szCs w:val="24"/>
          <w:lang w:val="en-US" w:eastAsia="zh-CN" w:bidi="ar"/>
        </w:rPr>
        <w:t>。</w:t>
      </w:r>
    </w:p>
    <w:p w14:paraId="58B0F8D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0D81010"/>
    <w:rsid w:val="4A7840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555</Words>
  <Characters>582</Characters>
  <Lines>0</Lines>
  <Paragraphs>0</Paragraphs>
  <TotalTime>1</TotalTime>
  <ScaleCrop>false</ScaleCrop>
  <LinksUpToDate>false</LinksUpToDate>
  <CharactersWithSpaces>583</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2026-06-30T08:58:00Z</dcterms:created>
  <dc:creator>User</dc:creator>
  <cp:lastModifiedBy>念奴娇</cp:lastModifiedBy>
  <dcterms:modified xsi:type="dcterms:W3CDTF">2026-06-30T09:00:12Z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KSOTemplateDocerSaveRecord">
    <vt:lpwstr>eyJoZGlkIjoiMzcxZTYxN2ZkM2YyMWZhYjQ1ODQ1YTAzY2E1MDA4MTEiLCJ1c2VySWQiOiIxNzg1NDk5NjY4In0=</vt:lpwstr>
  </property>
  <property fmtid="{D5CDD505-2E9C-101B-9397-08002B2CF9AE}" pid="4" name="ICV">
    <vt:lpwstr>7BFEC192D0AD41509B50F936F1C3DA69_12</vt:lpwstr>
  </property>
</Properties>
</file>