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281" w:firstLineChars="100"/>
        <w:jc w:val="center"/>
        <w:rPr>
          <w:rFonts w:asciiTheme="minorEastAsia" w:hAnsiTheme="minorEastAsia"/>
          <w:b/>
          <w:sz w:val="28"/>
          <w:szCs w:val="28"/>
        </w:rPr>
      </w:pPr>
      <w:bookmarkStart w:id="0" w:name="_GoBack"/>
      <w:r>
        <w:rPr>
          <w:rFonts w:hint="eastAsia" w:asciiTheme="minorEastAsia" w:hAnsiTheme="minorEastAsia"/>
          <w:b/>
          <w:sz w:val="28"/>
          <w:szCs w:val="28"/>
        </w:rPr>
        <w:t>我校推荐申报202</w:t>
      </w:r>
      <w:r>
        <w:rPr>
          <w:rFonts w:hint="eastAsia" w:asciiTheme="minorEastAsia" w:hAnsiTheme="minorEastAsia"/>
          <w:b/>
          <w:sz w:val="28"/>
          <w:szCs w:val="28"/>
          <w:lang w:val="en-US" w:eastAsia="zh-CN"/>
        </w:rPr>
        <w:t>4</w:t>
      </w:r>
      <w:r>
        <w:rPr>
          <w:rFonts w:hint="eastAsia" w:asciiTheme="minorEastAsia" w:hAnsiTheme="minorEastAsia"/>
          <w:b/>
          <w:sz w:val="28"/>
          <w:szCs w:val="28"/>
        </w:rPr>
        <w:t>年度广西高等教育本科教学改革工程项目名单</w:t>
      </w:r>
      <w:bookmarkEnd w:id="0"/>
    </w:p>
    <w:p>
      <w:pPr>
        <w:spacing w:line="360" w:lineRule="auto"/>
        <w:ind w:firstLine="241" w:firstLineChars="100"/>
        <w:jc w:val="center"/>
        <w:rPr>
          <w:rFonts w:asciiTheme="minorEastAsia" w:hAnsiTheme="minorEastAsia"/>
          <w:b/>
          <w:sz w:val="24"/>
          <w:szCs w:val="24"/>
        </w:rPr>
      </w:pPr>
    </w:p>
    <w:tbl>
      <w:tblPr>
        <w:tblStyle w:val="2"/>
        <w:tblW w:w="8925" w:type="dxa"/>
        <w:tblInd w:w="113" w:type="dxa"/>
        <w:tblLayout w:type="autofit"/>
        <w:tblCellMar>
          <w:top w:w="0" w:type="dxa"/>
          <w:left w:w="108" w:type="dxa"/>
          <w:bottom w:w="0" w:type="dxa"/>
          <w:right w:w="108" w:type="dxa"/>
        </w:tblCellMar>
      </w:tblPr>
      <w:tblGrid>
        <w:gridCol w:w="436"/>
        <w:gridCol w:w="2405"/>
        <w:gridCol w:w="3480"/>
        <w:gridCol w:w="1049"/>
        <w:gridCol w:w="1555"/>
      </w:tblGrid>
      <w:tr>
        <w:tblPrEx>
          <w:tblCellMar>
            <w:top w:w="0" w:type="dxa"/>
            <w:left w:w="108" w:type="dxa"/>
            <w:bottom w:w="0" w:type="dxa"/>
            <w:right w:w="108" w:type="dxa"/>
          </w:tblCellMar>
        </w:tblPrEx>
        <w:trPr>
          <w:trHeight w:val="800" w:hRule="atLeast"/>
          <w:tblHeader/>
        </w:trPr>
        <w:tc>
          <w:tcPr>
            <w:tcW w:w="436" w:type="dxa"/>
            <w:tcBorders>
              <w:top w:val="single" w:color="auto" w:sz="4" w:space="0"/>
              <w:left w:val="single" w:color="auto" w:sz="4" w:space="0"/>
              <w:bottom w:val="single" w:color="auto" w:sz="4" w:space="0"/>
              <w:right w:val="single" w:color="auto" w:sz="4" w:space="0"/>
            </w:tcBorders>
            <w:shd w:val="clear" w:color="000000" w:fill="B8CCE4"/>
            <w:vAlign w:val="center"/>
          </w:tcPr>
          <w:p>
            <w:pPr>
              <w:widowControl/>
              <w:jc w:val="center"/>
              <w:rPr>
                <w:rFonts w:hint="default" w:ascii="宋体" w:hAnsi="宋体" w:eastAsia="宋体" w:cs="宋体"/>
                <w:b/>
                <w:bCs/>
                <w:color w:val="000000" w:themeColor="text1"/>
                <w:kern w:val="0"/>
                <w:szCs w:val="21"/>
                <w:lang w:val="en-US" w:eastAsia="zh-CN"/>
                <w14:textFill>
                  <w14:solidFill>
                    <w14:schemeClr w14:val="tx1"/>
                  </w14:solidFill>
                </w14:textFill>
              </w:rPr>
            </w:pPr>
            <w:r>
              <w:rPr>
                <w:rFonts w:hint="eastAsia" w:ascii="宋体" w:hAnsi="宋体" w:eastAsia="宋体" w:cs="宋体"/>
                <w:b/>
                <w:bCs/>
                <w:color w:val="000000" w:themeColor="text1"/>
                <w:kern w:val="0"/>
                <w:szCs w:val="21"/>
                <w:lang w:val="en-US" w:eastAsia="zh-CN"/>
                <w14:textFill>
                  <w14:solidFill>
                    <w14:schemeClr w14:val="tx1"/>
                  </w14:solidFill>
                </w14:textFill>
              </w:rPr>
              <w:t>序号</w:t>
            </w:r>
          </w:p>
        </w:tc>
        <w:tc>
          <w:tcPr>
            <w:tcW w:w="2405" w:type="dxa"/>
            <w:tcBorders>
              <w:top w:val="single" w:color="auto" w:sz="4" w:space="0"/>
              <w:left w:val="nil"/>
              <w:bottom w:val="single" w:color="auto" w:sz="4" w:space="0"/>
              <w:right w:val="single" w:color="auto" w:sz="4" w:space="0"/>
            </w:tcBorders>
            <w:shd w:val="clear" w:color="000000" w:fill="B8CCE4"/>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所在单位</w:t>
            </w:r>
          </w:p>
        </w:tc>
        <w:tc>
          <w:tcPr>
            <w:tcW w:w="3480" w:type="dxa"/>
            <w:tcBorders>
              <w:top w:val="single" w:color="auto" w:sz="4" w:space="0"/>
              <w:left w:val="nil"/>
              <w:bottom w:val="single" w:color="auto" w:sz="4" w:space="0"/>
              <w:right w:val="single" w:color="auto" w:sz="4" w:space="0"/>
            </w:tcBorders>
            <w:shd w:val="clear" w:color="000000" w:fill="B8CCE4"/>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项目名称</w:t>
            </w:r>
          </w:p>
        </w:tc>
        <w:tc>
          <w:tcPr>
            <w:tcW w:w="1049" w:type="dxa"/>
            <w:tcBorders>
              <w:top w:val="single" w:color="auto" w:sz="4" w:space="0"/>
              <w:left w:val="nil"/>
              <w:bottom w:val="single" w:color="auto" w:sz="4" w:space="0"/>
              <w:right w:val="single" w:color="auto" w:sz="4" w:space="0"/>
            </w:tcBorders>
            <w:shd w:val="clear" w:color="000000" w:fill="B8CCE4"/>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申请人</w:t>
            </w:r>
          </w:p>
        </w:tc>
        <w:tc>
          <w:tcPr>
            <w:tcW w:w="1555" w:type="dxa"/>
            <w:tcBorders>
              <w:top w:val="single" w:color="auto" w:sz="4" w:space="0"/>
              <w:left w:val="nil"/>
              <w:bottom w:val="single" w:color="auto" w:sz="4" w:space="0"/>
              <w:right w:val="single" w:color="auto" w:sz="4" w:space="0"/>
            </w:tcBorders>
            <w:shd w:val="clear" w:color="000000" w:fill="B8CCE4"/>
            <w:vAlign w:val="center"/>
          </w:tcPr>
          <w:p>
            <w:pPr>
              <w:widowControl/>
              <w:jc w:val="center"/>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b/>
                <w:bCs/>
                <w:color w:val="000000" w:themeColor="text1"/>
                <w:kern w:val="0"/>
                <w:szCs w:val="21"/>
                <w14:textFill>
                  <w14:solidFill>
                    <w14:schemeClr w14:val="tx1"/>
                  </w14:solidFill>
                </w14:textFill>
              </w:rPr>
              <w:t>推荐项目类型</w:t>
            </w:r>
          </w:p>
        </w:tc>
      </w:tr>
      <w:tr>
        <w:tblPrEx>
          <w:tblCellMar>
            <w:top w:w="0" w:type="dxa"/>
            <w:left w:w="108" w:type="dxa"/>
            <w:bottom w:w="0" w:type="dxa"/>
            <w:right w:w="108" w:type="dxa"/>
          </w:tblCellMar>
        </w:tblPrEx>
        <w:trPr>
          <w:trHeight w:val="686"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w:t>
            </w:r>
          </w:p>
        </w:tc>
        <w:tc>
          <w:tcPr>
            <w:tcW w:w="24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艺术与设计学院</w:t>
            </w:r>
          </w:p>
        </w:tc>
        <w:tc>
          <w:tcPr>
            <w:tcW w:w="348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新质引领·数智赋能·多元评价”设计类专业拔尖创新人才培养模式改革及实践研究</w:t>
            </w:r>
          </w:p>
        </w:tc>
        <w:tc>
          <w:tcPr>
            <w:tcW w:w="104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李旭</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重点项目</w:t>
            </w:r>
          </w:p>
        </w:tc>
      </w:tr>
      <w:tr>
        <w:tblPrEx>
          <w:tblCellMar>
            <w:top w:w="0" w:type="dxa"/>
            <w:left w:w="108" w:type="dxa"/>
            <w:bottom w:w="0" w:type="dxa"/>
            <w:right w:w="108" w:type="dxa"/>
          </w:tblCellMar>
        </w:tblPrEx>
        <w:trPr>
          <w:trHeight w:val="95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机电工程学院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聚焦解决复杂工程问题能力培养的电子封装综合设计课程建设研究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陈小勇</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重点项目</w:t>
            </w:r>
          </w:p>
        </w:tc>
      </w:tr>
      <w:tr>
        <w:tblPrEx>
          <w:tblCellMar>
            <w:top w:w="0" w:type="dxa"/>
            <w:left w:w="108" w:type="dxa"/>
            <w:bottom w:w="0" w:type="dxa"/>
            <w:right w:w="108" w:type="dxa"/>
          </w:tblCellMar>
        </w:tblPrEx>
        <w:trPr>
          <w:trHeight w:val="65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光电工程学院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挑战性课程体系的建设研究——以光学系统设计类课程为例</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蒋曲博</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重点项目</w:t>
            </w:r>
          </w:p>
        </w:tc>
      </w:tr>
      <w:tr>
        <w:tblPrEx>
          <w:tblCellMar>
            <w:top w:w="0" w:type="dxa"/>
            <w:left w:w="108" w:type="dxa"/>
            <w:bottom w:w="0" w:type="dxa"/>
            <w:right w:w="108" w:type="dxa"/>
          </w:tblCellMar>
        </w:tblPrEx>
        <w:trPr>
          <w:trHeight w:val="95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计算机与信息安全学院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基于知识图谱的离散数学课程教学改革研究与实践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孟瑜</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重点项目</w:t>
            </w:r>
          </w:p>
        </w:tc>
      </w:tr>
      <w:tr>
        <w:tblPrEx>
          <w:tblCellMar>
            <w:top w:w="0" w:type="dxa"/>
            <w:left w:w="108" w:type="dxa"/>
            <w:bottom w:w="0" w:type="dxa"/>
            <w:right w:w="108" w:type="dxa"/>
          </w:tblCellMar>
        </w:tblPrEx>
        <w:trPr>
          <w:trHeight w:val="95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教务处</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数智赋能 素养提升 电子信息类特色高校“数智化”人才培养改革</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李晓记</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重点项目</w:t>
            </w:r>
          </w:p>
        </w:tc>
      </w:tr>
      <w:tr>
        <w:tblPrEx>
          <w:tblCellMar>
            <w:top w:w="0" w:type="dxa"/>
            <w:left w:w="108" w:type="dxa"/>
            <w:bottom w:w="0" w:type="dxa"/>
            <w:right w:w="108" w:type="dxa"/>
          </w:tblCellMar>
        </w:tblPrEx>
        <w:trPr>
          <w:trHeight w:val="95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6</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外国语学院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AI赋能的工科高校大学生翻译能力培养模式研究与实践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全峰</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978"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7</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电子工程与自动化学院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项目化 多层次 跨学科《电子工程训练》课程建设与实践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李珊</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66"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8</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数学与计算科学学院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《属性数据分析》课程“一核两翼三化四融”教学模式的改革与实践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马鹏程</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918"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9</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北海校区</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赋能新质生产力发展的大数据管理与应用专业应用型人才培养模式研究与实践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黄廷辉</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575"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10</w:t>
            </w:r>
          </w:p>
        </w:tc>
        <w:tc>
          <w:tcPr>
            <w:tcW w:w="240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建筑与交通工程学院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基于科教融合的PBL教学改革与实践——以交通工程系统分析课程为例</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廉冠</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54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11</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材料科学与工程学院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聚焦高阶思维能力培养的《大学化学》混合式教学模式探索与实践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黄瑜</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114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12</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机电工程学院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机械电子工程专业“课-赛-科-创”四位一体实践教学探索与改革</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李明枫</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83"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13</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商学院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基于OBE理念的Java程序设计课程思政实现路径研究与实践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黄宏军</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75"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14</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艺术与设计学院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人工智能+”背景下AI技术驱动环境设计专业《植物配置》课程改革与创新</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张慧</w:t>
            </w:r>
          </w:p>
        </w:tc>
        <w:tc>
          <w:tcPr>
            <w:tcW w:w="15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703"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15</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马克思主义学院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数字化赋能德法课大思政社会实践“一题四式”模式构建研究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杨菲</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16</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法学院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新文科背景下涉外知识产权人才培养模式改革与实践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祝高峰</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4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17</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艺术与设计学院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ascii="宋体" w:hAnsi="宋体" w:eastAsia="宋体" w:cs="宋体"/>
                <w:color w:val="000000" w:themeColor="text1"/>
                <w:kern w:val="0"/>
                <w:szCs w:val="21"/>
                <w14:textFill>
                  <w14:solidFill>
                    <w14:schemeClr w14:val="tx1"/>
                  </w14:solidFill>
                </w14:textFill>
              </w:rPr>
              <w:t>人工智能赋能服装设计专业核心课程混合式教学改革与实践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吴红艳</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49"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18</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机电工程学院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红引专促 协同攻关 合力育人---电子封装技术专业产教融合型基层教学组织机制研究与实践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何思亮</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92"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19</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生命与环境科学学院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“新工科+新医科”背景下地方高校医学电子仪器特色人才培养的探索与实践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李华</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49"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20</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电子工程与自动化学院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众创共享、人机互动、双向融合，仪器类信号课程群协同教学方法探索与实践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苏海涛</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643"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21</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人工智能学院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基于国产华为openEuler 系统的《操作系统》课程教学改革与实践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林承德</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575"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22</w:t>
            </w:r>
          </w:p>
        </w:tc>
        <w:tc>
          <w:tcPr>
            <w:tcW w:w="240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机电工程学院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面向卓越工程师培养的实践创新课程群建设研究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李新凯</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909"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23</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信息与通信学院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新质生产力视域下创新型人才培养模式探索--以电子信息工程专业为例</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廖可非</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49"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24</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材料科学与工程学院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基于OBE理念的光电信息材料与器件专业多元融合、多主体协同育人的人才培养模式探索与实践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尚飞</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25</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北海校区</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新工科背景下工业设计专业应用型人才培养模式研究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王承飞</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26</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商学院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新文科背景下《微观经济学》课程思政教学改革研究与实践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向云</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一般项目A类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27</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法学院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需求牵引、融合赋能、协同创新——西部地方高校涉外法治人才培养共同体探索与实践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赵玉意</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28</w:t>
            </w:r>
          </w:p>
        </w:tc>
        <w:tc>
          <w:tcPr>
            <w:tcW w:w="240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生命与环境科学学院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基于“三位一体”线上线下混合式教学模式的《物理性污染控制》挑战性课程创新实践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储小雪</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29</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体育部</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高质量视域下课程思政融入高校公共体育教学的探索与实践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高淦</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30</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信息与通信学院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工程应用为导向“知行合一”的《电磁场与微波技术》教学改革</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王宜颖</w:t>
            </w:r>
          </w:p>
        </w:tc>
        <w:tc>
          <w:tcPr>
            <w:tcW w:w="15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31</w:t>
            </w:r>
          </w:p>
        </w:tc>
        <w:tc>
          <w:tcPr>
            <w:tcW w:w="240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外国语学院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基于“校企联动+五赛协同”的外语专业跨境电商实践教学改革研究与应用</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廖桂宇</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32</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马克思主义学院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高校思想政治理论课“六步进阶”教学模式的探索与实践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贺旋</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33</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计算机与信息安全学院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点燃中国芯, 培养学生大国工匠工程创新思维--无线传感器网络课程思政探索与实践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覃志松</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34</w:t>
            </w:r>
          </w:p>
        </w:tc>
        <w:tc>
          <w:tcPr>
            <w:tcW w:w="2405"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商学院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基于知识图谱的《金融风险管理》课程建设探索与实践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吴俊</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35</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数学与计算科学学院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基于科教融合一体化的新工科拔尖人才实践教学培养模式研究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沈瑞刚</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36</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艺术与设计学院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景观设计核心课程群“三阶+四化+三省”教学改革研究与实践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唐周</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37</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信息与通信学院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基于OBE理念的电子信息类专业电子电路课金课建设研究</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谭方青</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38</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电子工程与自动化学院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新工科背景下融入思政元素的自动化类人才培养模式的研究与探索</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莫太平</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39</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北海校区</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基于OBE-CDIO理念的电子信息类实践课程思政四维一体框架体系构建与研究-以电子认知实训课程为例</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江德业</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40</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材料科学与工程学院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OBE理念下的大学物理实验挑战性课程的建设与实践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吕游</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41</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数学与计算科学学院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数字化背景下应用型统计人才培养模式的研究与实践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林尤武</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42</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商学院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人工智能驱动下的《创业管理》课程教学模式改革与实践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唐俊</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43</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马克思主义学院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“金课”建设背景下《形势与政策》课程“两性一度”提升研究与实践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王万奇</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44</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外国语学院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人工智能背景下基于“课练赛证”的大学英语智慧教学模式研究与实践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陈美伊</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45</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学生工作处</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新时代高校美育评价指标体系构建探索与实践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赵五一</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46</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商学院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思政引领、数智赋能：会计学国家一流专业人才培养模式的探索与实践</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王伟</w:t>
            </w:r>
          </w:p>
        </w:tc>
        <w:tc>
          <w:tcPr>
            <w:tcW w:w="15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800" w:hRule="atLeast"/>
        </w:trPr>
        <w:tc>
          <w:tcPr>
            <w:tcW w:w="43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47</w:t>
            </w:r>
          </w:p>
        </w:tc>
        <w:tc>
          <w:tcPr>
            <w:tcW w:w="2405"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计算机与信息安全学院</w:t>
            </w:r>
          </w:p>
        </w:tc>
        <w:tc>
          <w:tcPr>
            <w:tcW w:w="34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面向自主可控的嵌入式系统开发类课程的重构</w:t>
            </w:r>
          </w:p>
        </w:tc>
        <w:tc>
          <w:tcPr>
            <w:tcW w:w="104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熊太平</w:t>
            </w:r>
          </w:p>
        </w:tc>
        <w:tc>
          <w:tcPr>
            <w:tcW w:w="155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638"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48</w:t>
            </w:r>
          </w:p>
        </w:tc>
        <w:tc>
          <w:tcPr>
            <w:tcW w:w="24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艺术与设计学院</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重塑与驱动：导入生成式人工智能技术的产品设计专业拔尖人才培养模式研究与实践</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刘伟元</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638"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49</w:t>
            </w:r>
          </w:p>
        </w:tc>
        <w:tc>
          <w:tcPr>
            <w:tcW w:w="24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材料科学与工程学院</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“提趣味、强应用、融思政、增资源”《大学物理》课程教学改革探索与实践</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朱保华</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638"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50</w:t>
            </w:r>
          </w:p>
        </w:tc>
        <w:tc>
          <w:tcPr>
            <w:tcW w:w="24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光电工程学院</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面向光电专业的嵌入式课程改革探索与实践</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陈辉金</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r>
        <w:tblPrEx>
          <w:tblCellMar>
            <w:top w:w="0" w:type="dxa"/>
            <w:left w:w="108" w:type="dxa"/>
            <w:bottom w:w="0" w:type="dxa"/>
            <w:right w:w="108" w:type="dxa"/>
          </w:tblCellMar>
        </w:tblPrEx>
        <w:trPr>
          <w:trHeight w:val="638" w:hRule="atLeast"/>
        </w:trPr>
        <w:tc>
          <w:tcPr>
            <w:tcW w:w="4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2"/>
                <w:szCs w:val="22"/>
                <w:u w:val="none"/>
                <w:lang w:val="en-US" w:eastAsia="zh-CN" w:bidi="ar"/>
              </w:rPr>
              <w:t>51</w:t>
            </w:r>
          </w:p>
        </w:tc>
        <w:tc>
          <w:tcPr>
            <w:tcW w:w="240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建筑与交通工程学院</w:t>
            </w:r>
          </w:p>
        </w:tc>
        <w:tc>
          <w:tcPr>
            <w:tcW w:w="348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以“两性一度”为导向的土木工程虚拟仿真实验教学改革与实践</w:t>
            </w:r>
          </w:p>
        </w:tc>
        <w:tc>
          <w:tcPr>
            <w:tcW w:w="10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olor w:val="000000" w:themeColor="text1"/>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马雨微</w:t>
            </w:r>
          </w:p>
        </w:tc>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一般项目B类</w:t>
            </w:r>
          </w:p>
        </w:tc>
      </w:tr>
    </w:tbl>
    <w:p>
      <w:pPr>
        <w:spacing w:line="360" w:lineRule="auto"/>
        <w:ind w:firstLine="210" w:firstLineChars="100"/>
        <w:rPr>
          <w:rFonts w:ascii="宋体" w:hAnsi="宋体" w:eastAsia="宋体"/>
          <w:szCs w:val="21"/>
        </w:rPr>
      </w:pPr>
    </w:p>
    <w:p/>
    <w:sectPr>
      <w:pgSz w:w="11906" w:h="16838"/>
      <w:pgMar w:top="1440" w:right="1599"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1OTdkNTJjMDNiZDRjNDFmYWI5ZTI3NTk4MTdmMTEifQ=="/>
  </w:docVars>
  <w:rsids>
    <w:rsidRoot w:val="5A787FCE"/>
    <w:rsid w:val="5A787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2024-04-03T07:55:00Z</dcterms:created>
  <dc:creator>杨哲</dc:creator>
  <cp:lastModifiedBy>杨哲</cp:lastModifiedBy>
  <dcterms:modified xsi:type="dcterms:W3CDTF">2024-04-03T07:55:35Z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9087717986C843C2B344518604A438D3_11</vt:lpwstr>
  </property>
</Properties>
</file>