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2B7DC">
      <w:pPr>
        <w:pStyle w:val="6"/>
        <w:spacing w:line="370" w:lineRule="auto"/>
        <w:jc w:val="center"/>
      </w:pPr>
      <w:r>
        <w:rPr>
          <w:rFonts w:hint="eastAsia" w:ascii="黑体" w:hAnsi="黑体" w:eastAsia="黑体" w:cs="Times New Roman"/>
          <w:b/>
          <w:bCs/>
          <w:sz w:val="32"/>
          <w:szCs w:val="32"/>
        </w:rPr>
        <w:t>桂电</w:t>
      </w:r>
      <w:r>
        <w:rPr>
          <w:rFonts w:hint="eastAsia" w:ascii="黑体" w:hAnsi="黑体" w:eastAsia="黑体" w:cs="Times New Roman"/>
          <w:b/>
          <w:bCs/>
          <w:sz w:val="32"/>
          <w:szCs w:val="32"/>
          <w:lang w:val="en-US" w:eastAsia="zh-CN"/>
        </w:rPr>
        <w:t>南宁研究院&amp;广西人工智能学院</w:t>
      </w:r>
      <w:r>
        <w:rPr>
          <w:rFonts w:hint="eastAsia" w:ascii="黑体" w:hAnsi="黑体" w:eastAsia="黑体" w:cs="Times New Roman"/>
          <w:b/>
          <w:bCs/>
          <w:sz w:val="32"/>
          <w:szCs w:val="32"/>
        </w:rPr>
        <w:t>2025年秋季球类联赛——</w:t>
      </w:r>
      <w:r>
        <w:rPr>
          <w:rFonts w:hint="eastAsia" w:ascii="黑体" w:hAnsi="黑体" w:eastAsia="黑体" w:cs="Times New Roman"/>
          <w:b/>
          <w:bCs/>
          <w:sz w:val="32"/>
          <w:szCs w:val="32"/>
          <w:lang w:val="en-US" w:eastAsia="zh-CN"/>
        </w:rPr>
        <w:t>匹克</w:t>
      </w:r>
      <w:r>
        <w:rPr>
          <w:rFonts w:hint="eastAsia" w:ascii="黑体" w:hAnsi="黑体" w:eastAsia="黑体" w:cs="Times New Roman"/>
          <w:b/>
          <w:bCs/>
          <w:sz w:val="32"/>
          <w:szCs w:val="32"/>
        </w:rPr>
        <w:t>球赛</w:t>
      </w:r>
      <w:r>
        <w:rPr>
          <w:rFonts w:hint="eastAsia" w:ascii="黑体" w:hAnsi="黑体" w:eastAsia="黑体" w:cs="Times New Roman"/>
          <w:b/>
          <w:bCs/>
          <w:sz w:val="32"/>
          <w:szCs w:val="32"/>
          <w:lang w:val="en-GB"/>
        </w:rPr>
        <w:t>规则</w:t>
      </w:r>
    </w:p>
    <w:p w14:paraId="4B27D619">
      <w:pPr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drawing>
          <wp:inline distT="0" distB="0" distL="0" distR="0">
            <wp:extent cx="4048125" cy="496125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38"/>
                    <a:stretch>
                      <a:fillRect/>
                    </a:stretch>
                  </pic:blipFill>
                  <pic:spPr>
                    <a:xfrm>
                      <a:off x="0" y="0"/>
                      <a:ext cx="4050964" cy="496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22CAA">
      <w:pPr>
        <w:jc w:val="center"/>
        <w:rPr>
          <w:rFonts w:hint="eastAsia" w:ascii="宋体" w:hAnsi="宋体" w:eastAsia="宋体" w:cs="Times New Roman"/>
          <w:b/>
          <w:sz w:val="28"/>
          <w:szCs w:val="28"/>
          <w:lang w:eastAsia="zh-CN"/>
          <w14:ligatures w14:val="none"/>
        </w:rPr>
      </w:pPr>
      <w:r>
        <w:rPr>
          <w:rFonts w:hint="eastAsia" w:ascii="宋体" w:hAnsi="宋体" w:eastAsia="宋体" w:cs="Times New Roman"/>
          <w:b/>
          <w:sz w:val="28"/>
          <w:szCs w:val="28"/>
          <w:lang w:eastAsia="zh-CN"/>
          <w14:ligatures w14:val="none"/>
        </w:rPr>
        <w:t xml:space="preserve">图1 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  <w14:ligatures w14:val="none"/>
        </w:rPr>
        <w:t>匹克</w:t>
      </w:r>
      <w:r>
        <w:rPr>
          <w:rFonts w:hint="eastAsia" w:ascii="宋体" w:hAnsi="宋体" w:eastAsia="宋体" w:cs="Times New Roman"/>
          <w:b/>
          <w:sz w:val="28"/>
          <w:szCs w:val="28"/>
          <w14:ligatures w14:val="none"/>
        </w:rPr>
        <w:t>球</w:t>
      </w:r>
      <w:r>
        <w:rPr>
          <w:rFonts w:hint="eastAsia" w:ascii="宋体" w:hAnsi="宋体" w:eastAsia="宋体" w:cs="Times New Roman"/>
          <w:b/>
          <w:sz w:val="28"/>
          <w:szCs w:val="28"/>
          <w:lang w:eastAsia="zh-CN"/>
          <w14:ligatures w14:val="none"/>
        </w:rPr>
        <w:t>比赛标准发球示意图</w:t>
      </w:r>
    </w:p>
    <w:p w14:paraId="1F6769EC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一、</w:t>
      </w:r>
      <w:r>
        <w:rPr>
          <w:rFonts w:ascii="宋体" w:hAnsi="宋体" w:eastAsia="宋体"/>
          <w:sz w:val="28"/>
          <w:szCs w:val="28"/>
        </w:rPr>
        <w:t>比赛场地</w:t>
      </w:r>
    </w:p>
    <w:p w14:paraId="5D574B0A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-球场宽度：6.1米</w:t>
      </w:r>
    </w:p>
    <w:p w14:paraId="78E6A355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-打球区长度：4.57米</w:t>
      </w:r>
    </w:p>
    <w:p w14:paraId="4314F8E0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-非截击区（禁止发球和截击的区域）宽度：2.13米</w:t>
      </w:r>
    </w:p>
    <w:p w14:paraId="169C931A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-网柱高度：91.44厘米</w:t>
      </w:r>
    </w:p>
    <w:p w14:paraId="0FC40B3D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-场地划分：中线、左发球区、右发球区、底线、发球点</w:t>
      </w:r>
    </w:p>
    <w:p w14:paraId="3678E9D4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二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ascii="宋体" w:hAnsi="宋体" w:eastAsia="宋体"/>
          <w:sz w:val="28"/>
          <w:szCs w:val="28"/>
        </w:rPr>
        <w:t>发球规则</w:t>
      </w:r>
    </w:p>
    <w:p w14:paraId="57AF3B17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1.发球时不允许非法延误发球。</w:t>
      </w:r>
    </w:p>
    <w:p w14:paraId="787AC05D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2.必须对角线发球，球需落在斜对面球场的打球区，且不可压非截击区线。</w:t>
      </w:r>
    </w:p>
    <w:p w14:paraId="183295EA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3.发球需以下投手势击球，球与球拍接触面低于腰部，且在落地前击出。</w:t>
      </w:r>
    </w:p>
    <w:p w14:paraId="67ADFBA9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4.每局比赛开始时，由右侧球员发球，左侧选边；每局结束后，双方互换发球顺序和球场位置。</w:t>
      </w:r>
    </w:p>
    <w:p w14:paraId="189C7171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5.发球方双脚必须站在底线外。</w:t>
      </w:r>
    </w:p>
    <w:p w14:paraId="44B8B6DF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6.发球后的第一个回合内，球必须在双方场地内落地一次后，才能凌空拦击。</w:t>
      </w:r>
    </w:p>
    <w:p w14:paraId="741A9227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三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ascii="宋体" w:hAnsi="宋体" w:eastAsia="宋体"/>
          <w:sz w:val="28"/>
          <w:szCs w:val="28"/>
        </w:rPr>
        <w:t>得分规则</w:t>
      </w:r>
    </w:p>
    <w:p w14:paraId="3A65D52F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发球方赢回合</w:t>
      </w:r>
      <w:r>
        <w:rPr>
          <w:rFonts w:hint="eastAsia" w:ascii="MS Gothic" w:hAnsi="MS Gothic" w:eastAsia="MS Gothic" w:cs="MS Gothic"/>
          <w:sz w:val="28"/>
          <w:szCs w:val="28"/>
        </w:rPr>
        <w:t>‌</w:t>
      </w:r>
      <w:r>
        <w:rPr>
          <w:rFonts w:hint="eastAsia" w:ascii="宋体" w:hAnsi="宋体" w:eastAsia="宋体" w:cs="宋体"/>
          <w:sz w:val="28"/>
          <w:szCs w:val="28"/>
        </w:rPr>
        <w:t>：发球后若对方回球失误（如出界、下网、违例等），或发球直接得分（如触网后落入有效区并导致对方未接住），发球方得</w:t>
      </w:r>
      <w:r>
        <w:rPr>
          <w:rFonts w:ascii="宋体" w:hAnsi="宋体" w:eastAsia="宋体"/>
          <w:sz w:val="28"/>
          <w:szCs w:val="28"/>
        </w:rPr>
        <w:t>1分。</w:t>
      </w:r>
    </w:p>
    <w:p w14:paraId="6FB03F04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MS Gothic" w:hAnsi="MS Gothic" w:eastAsia="MS Gothic" w:cs="MS Gothic"/>
          <w:sz w:val="28"/>
          <w:szCs w:val="28"/>
        </w:rPr>
        <w:t>‌</w:t>
      </w:r>
      <w:r>
        <w:rPr>
          <w:rFonts w:hint="eastAsia" w:ascii="宋体" w:hAnsi="宋体" w:eastAsia="宋体"/>
          <w:sz w:val="28"/>
          <w:szCs w:val="28"/>
        </w:rPr>
        <w:t>接发球方赢回合</w:t>
      </w:r>
      <w:r>
        <w:rPr>
          <w:rFonts w:hint="eastAsia" w:ascii="MS Gothic" w:hAnsi="MS Gothic" w:eastAsia="MS Gothic" w:cs="MS Gothic"/>
          <w:sz w:val="28"/>
          <w:szCs w:val="28"/>
        </w:rPr>
        <w:t>‌</w:t>
      </w:r>
      <w:r>
        <w:rPr>
          <w:rFonts w:hint="eastAsia" w:ascii="宋体" w:hAnsi="宋体" w:eastAsia="宋体" w:cs="宋体"/>
          <w:sz w:val="28"/>
          <w:szCs w:val="28"/>
        </w:rPr>
        <w:t>：若发球方失误（如发球出界、未过网、踩线违例等），接发球方仅获得发球权，不得分。</w:t>
      </w:r>
    </w:p>
    <w:p w14:paraId="576E7F94">
      <w:pPr>
        <w:rPr>
          <w:rFonts w:ascii="宋体" w:hAnsi="宋体" w:eastAsia="宋体"/>
          <w:color w:val="FF0000"/>
          <w:sz w:val="28"/>
          <w:szCs w:val="28"/>
        </w:rPr>
      </w:pPr>
      <w:r>
        <w:rPr>
          <w:rFonts w:ascii="宋体" w:hAnsi="宋体" w:eastAsia="宋体"/>
          <w:color w:val="FF0000"/>
          <w:sz w:val="28"/>
          <w:szCs w:val="28"/>
          <w:highlight w:val="yellow"/>
        </w:rPr>
        <w:t>2.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注意区分淘汰赛的“发球得分制”和小组赛的“每球得分制”：每球得分（同羽毛球规则一致）发球顺序</w:t>
      </w:r>
      <w:r>
        <w:rPr>
          <w:rFonts w:hint="eastAsia" w:ascii="MS Gothic" w:hAnsi="MS Gothic" w:eastAsia="MS Gothic" w:cs="MS Gothic"/>
          <w:color w:val="FF0000"/>
          <w:sz w:val="28"/>
          <w:szCs w:val="28"/>
          <w:highlight w:val="yellow"/>
        </w:rPr>
        <w:t>‌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为，每局开始或发球方得分为偶数时，发球方在右半场发球；发球方得分为奇数时，在左半场发球。如果发球方得分，下一回合继续发球；如果接发球方得分，则下一回合对方发球</w:t>
      </w:r>
      <w:r>
        <w:rPr>
          <w:rFonts w:hint="eastAsia" w:ascii="MS Gothic" w:hAnsi="MS Gothic" w:eastAsia="MS Gothic" w:cs="MS Gothic"/>
          <w:color w:val="FF0000"/>
          <w:sz w:val="28"/>
          <w:szCs w:val="28"/>
          <w:highlight w:val="yellow"/>
        </w:rPr>
        <w:t>‌‌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。</w:t>
      </w:r>
    </w:p>
    <w:p w14:paraId="585DF692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四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ascii="宋体" w:hAnsi="宋体" w:eastAsia="宋体"/>
          <w:sz w:val="28"/>
          <w:szCs w:val="28"/>
        </w:rPr>
        <w:t>赛制</w:t>
      </w:r>
    </w:p>
    <w:p w14:paraId="27C91BA7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1.64队赛制：</w:t>
      </w:r>
    </w:p>
    <w:p w14:paraId="69369C9F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-分16组（每组4队），小组循环赛，前两名出线进入32强（标记为A1、A2等）。</w:t>
      </w:r>
    </w:p>
    <w:p w14:paraId="6F23807C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-32强交叉淘汰（A1vsB2，A2vsB1），16强后抽签淘汰，决出1-8名。</w:t>
      </w:r>
    </w:p>
    <w:p w14:paraId="4005177F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2.32队赛制：</w:t>
      </w:r>
    </w:p>
    <w:p w14:paraId="1E63461F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-分8组（每组4队），小组循环赛，前两名出线进入16强，交叉淘汰后抽签决出1-8名。</w:t>
      </w:r>
    </w:p>
    <w:p w14:paraId="6185C4B6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-</w:t>
      </w:r>
      <w:r>
        <w:rPr>
          <w:rFonts w:hint="eastAsia" w:ascii="宋体" w:hAnsi="宋体" w:eastAsia="宋体"/>
          <w:sz w:val="28"/>
          <w:szCs w:val="28"/>
        </w:rPr>
        <w:t>超过</w:t>
      </w:r>
      <w:r>
        <w:rPr>
          <w:rFonts w:ascii="宋体" w:hAnsi="宋体" w:eastAsia="宋体"/>
          <w:sz w:val="28"/>
          <w:szCs w:val="28"/>
        </w:rPr>
        <w:t>32支队伍，有的小组可以有5队</w:t>
      </w:r>
    </w:p>
    <w:p w14:paraId="63D875D2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3.团体总分计分方法：</w:t>
      </w:r>
    </w:p>
    <w:p w14:paraId="022CF539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-男双、女双、混双积分相加（前八名积分：9、7、6、5、4、3、2、1）。</w:t>
      </w:r>
    </w:p>
    <w:p w14:paraId="11C84FD2">
      <w:pPr>
        <w:rPr>
          <w:rFonts w:hint="eastAsia" w:ascii="宋体" w:hAnsi="宋体" w:eastAsia="宋体"/>
          <w:color w:val="FF0000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-积分相同则按第一名数量排名，再相同则抽签决定。</w:t>
      </w:r>
    </w:p>
    <w:p w14:paraId="52D4C681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五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ascii="宋体" w:hAnsi="宋体" w:eastAsia="宋体"/>
          <w:sz w:val="28"/>
          <w:szCs w:val="28"/>
        </w:rPr>
        <w:t>计分方法</w:t>
      </w:r>
    </w:p>
    <w:p w14:paraId="47D034D4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每场采用一局决胜制。</w:t>
      </w:r>
    </w:p>
    <w:p w14:paraId="19878D6C">
      <w:pPr>
        <w:ind w:left="32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-小组赛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每球</w:t>
      </w:r>
      <w:r>
        <w:rPr>
          <w:rFonts w:hint="eastAsia" w:ascii="宋体" w:hAnsi="宋体" w:eastAsia="宋体"/>
          <w:sz w:val="28"/>
          <w:szCs w:val="28"/>
        </w:rPr>
        <w:t>得分制</w:t>
      </w:r>
      <w:r>
        <w:rPr>
          <w:rFonts w:ascii="宋体" w:hAnsi="宋体" w:eastAsia="宋体"/>
          <w:sz w:val="28"/>
          <w:szCs w:val="28"/>
        </w:rPr>
        <w:t>15分，14:14时需领先2分，16:16时先得17分胜（8分交换场地）。</w:t>
      </w:r>
    </w:p>
    <w:p w14:paraId="00492B00">
      <w:pPr>
        <w:ind w:left="32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-淘汰赛：</w:t>
      </w:r>
      <w:r>
        <w:rPr>
          <w:rFonts w:hint="eastAsia" w:ascii="宋体" w:hAnsi="宋体" w:eastAsia="宋体"/>
          <w:color w:val="FF0000"/>
          <w:sz w:val="28"/>
          <w:szCs w:val="28"/>
          <w:highlight w:val="yellow"/>
        </w:rPr>
        <w:t>发球</w:t>
      </w:r>
      <w:r>
        <w:rPr>
          <w:rFonts w:hint="eastAsia" w:ascii="宋体" w:hAnsi="宋体" w:eastAsia="宋体"/>
          <w:sz w:val="28"/>
          <w:szCs w:val="28"/>
        </w:rPr>
        <w:t>得分制</w:t>
      </w:r>
      <w:r>
        <w:rPr>
          <w:rFonts w:ascii="宋体" w:hAnsi="宋体" w:eastAsia="宋体"/>
          <w:sz w:val="28"/>
          <w:szCs w:val="28"/>
        </w:rPr>
        <w:t>15分，14:14时需领先2分，16:16时先得17分胜（8分交换场地）。</w:t>
      </w:r>
    </w:p>
    <w:p w14:paraId="23970E79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六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bookmarkStart w:id="0" w:name="_GoBack"/>
      <w:bookmarkEnd w:id="0"/>
      <w:r>
        <w:rPr>
          <w:rFonts w:ascii="宋体" w:hAnsi="宋体" w:eastAsia="宋体"/>
          <w:sz w:val="28"/>
          <w:szCs w:val="28"/>
        </w:rPr>
        <w:t>小组循环赛排名办法</w:t>
      </w:r>
    </w:p>
    <w:p w14:paraId="7512EDE2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1.获胜场次多者排名靠前。</w:t>
      </w:r>
    </w:p>
    <w:p w14:paraId="723CF6C7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2.若胜场相同：</w:t>
      </w:r>
    </w:p>
    <w:p w14:paraId="27D41DEA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A.相互比赛胜负关系；</w:t>
      </w:r>
    </w:p>
    <w:p w14:paraId="0F8C69F6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B.小组内所有比赛得失分差；</w:t>
      </w:r>
    </w:p>
    <w:p w14:paraId="18C9AE94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C.胜场相同队间得失分差；</w:t>
      </w:r>
    </w:p>
    <w:p w14:paraId="0C3B1DB0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D.与相邻最高球队的得失分差；</w:t>
      </w:r>
    </w:p>
    <w:p w14:paraId="52EEAC13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E.抽签决定。</w:t>
      </w:r>
    </w:p>
    <w:p w14:paraId="693A113F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七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ascii="宋体" w:hAnsi="宋体" w:eastAsia="宋体"/>
          <w:sz w:val="28"/>
          <w:szCs w:val="28"/>
        </w:rPr>
        <w:t>其他规则</w:t>
      </w:r>
    </w:p>
    <w:p w14:paraId="73B4940C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-比赛用球：富兰克林40孔匹克球（大会提供），球拍自备。</w:t>
      </w:r>
    </w:p>
    <w:p w14:paraId="71A07B5B"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ascii="宋体" w:hAnsi="宋体" w:eastAsia="宋体"/>
          <w:sz w:val="28"/>
          <w:szCs w:val="28"/>
        </w:rPr>
        <w:t>-迟到10分钟视为弃权（判0:15负）。</w:t>
      </w:r>
    </w:p>
    <w:p w14:paraId="2EB61057"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-裁判由组委会选派，赛制调整需经组委会同意。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C14BF8"/>
    <w:multiLevelType w:val="multilevel"/>
    <w:tmpl w:val="78C14BF8"/>
    <w:lvl w:ilvl="0" w:tentative="0">
      <w:start w:val="1"/>
      <w:numFmt w:val="decimal"/>
      <w:pStyle w:val="2"/>
      <w:isLgl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Restart w:val="1"/>
      <w:pStyle w:val="10"/>
      <w:suff w:val="space"/>
      <w:lvlText w:val="图%1-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hM2U3MzM1NmQ2NWJmMDllNmYyNjM3ZDI5NDAyYWEifQ=="/>
  </w:docVars>
  <w:rsids>
    <w:rsidRoot w:val="00D34BFB"/>
    <w:rsid w:val="001B2256"/>
    <w:rsid w:val="00326A79"/>
    <w:rsid w:val="003906BA"/>
    <w:rsid w:val="00446EA7"/>
    <w:rsid w:val="004B5D9B"/>
    <w:rsid w:val="00517E0E"/>
    <w:rsid w:val="005F6381"/>
    <w:rsid w:val="00636BC1"/>
    <w:rsid w:val="00666084"/>
    <w:rsid w:val="006C77E8"/>
    <w:rsid w:val="007A43FD"/>
    <w:rsid w:val="007C5A10"/>
    <w:rsid w:val="007F1C85"/>
    <w:rsid w:val="00801080"/>
    <w:rsid w:val="00833E7E"/>
    <w:rsid w:val="008A4F49"/>
    <w:rsid w:val="009444E2"/>
    <w:rsid w:val="00A417CC"/>
    <w:rsid w:val="00B32BED"/>
    <w:rsid w:val="00B73A79"/>
    <w:rsid w:val="00C21F6B"/>
    <w:rsid w:val="00C221C9"/>
    <w:rsid w:val="00D31045"/>
    <w:rsid w:val="00D3370E"/>
    <w:rsid w:val="00D34BFB"/>
    <w:rsid w:val="00DB02D0"/>
    <w:rsid w:val="00E04CB0"/>
    <w:rsid w:val="00E523D9"/>
    <w:rsid w:val="00EA3D52"/>
    <w:rsid w:val="00F80F5F"/>
    <w:rsid w:val="00FA361C"/>
    <w:rsid w:val="0A9E7CF1"/>
    <w:rsid w:val="0F5D0592"/>
    <w:rsid w:val="100B0948"/>
    <w:rsid w:val="32FB09EE"/>
    <w:rsid w:val="40FC3BDE"/>
    <w:rsid w:val="417B60BB"/>
    <w:rsid w:val="49F17BA6"/>
    <w:rsid w:val="4AC42881"/>
    <w:rsid w:val="4EF70D4B"/>
    <w:rsid w:val="57A71560"/>
    <w:rsid w:val="587943A6"/>
    <w:rsid w:val="61AB05B8"/>
    <w:rsid w:val="7EC3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  <w14:ligatures w14:val="standardContextual"/>
    </w:rPr>
  </w:style>
  <w:style w:type="paragraph" w:styleId="2">
    <w:name w:val="heading 1"/>
    <w:basedOn w:val="1"/>
    <w:next w:val="3"/>
    <w:link w:val="17"/>
    <w:qFormat/>
    <w:uiPriority w:val="9"/>
    <w:pPr>
      <w:keepNext/>
      <w:keepLines/>
      <w:widowControl/>
      <w:numPr>
        <w:ilvl w:val="0"/>
        <w:numId w:val="1"/>
      </w:numPr>
      <w:spacing w:before="160" w:after="160" w:line="360" w:lineRule="auto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4">
    <w:name w:val="heading 2"/>
    <w:basedOn w:val="1"/>
    <w:next w:val="3"/>
    <w:link w:val="18"/>
    <w:qFormat/>
    <w:uiPriority w:val="9"/>
    <w:pPr>
      <w:keepNext/>
      <w:keepLines/>
      <w:widowControl/>
      <w:numPr>
        <w:ilvl w:val="1"/>
        <w:numId w:val="1"/>
      </w:numPr>
      <w:spacing w:before="120" w:line="360" w:lineRule="auto"/>
      <w:jc w:val="left"/>
      <w:outlineLvl w:val="1"/>
    </w:pPr>
    <w:rPr>
      <w:rFonts w:asciiTheme="majorHAnsi" w:hAnsiTheme="majorHAnsi" w:eastAsiaTheme="majorEastAsia" w:cstheme="majorBidi"/>
      <w:bCs/>
      <w:sz w:val="32"/>
      <w:szCs w:val="32"/>
    </w:rPr>
  </w:style>
  <w:style w:type="paragraph" w:styleId="5">
    <w:name w:val="heading 3"/>
    <w:basedOn w:val="1"/>
    <w:next w:val="3"/>
    <w:link w:val="19"/>
    <w:qFormat/>
    <w:uiPriority w:val="9"/>
    <w:pPr>
      <w:keepNext/>
      <w:keepLines/>
      <w:widowControl/>
      <w:numPr>
        <w:ilvl w:val="2"/>
        <w:numId w:val="1"/>
      </w:numPr>
      <w:spacing w:line="360" w:lineRule="auto"/>
      <w:jc w:val="left"/>
      <w:outlineLvl w:val="2"/>
    </w:pPr>
    <w:rPr>
      <w:rFonts w:eastAsia="黑体"/>
      <w:bCs/>
      <w:sz w:val="28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论文正文"/>
    <w:basedOn w:val="1"/>
    <w:link w:val="9"/>
    <w:qFormat/>
    <w:uiPriority w:val="0"/>
    <w:pPr>
      <w:topLinePunct/>
      <w:spacing w:line="360" w:lineRule="auto"/>
      <w:ind w:firstLine="200" w:firstLineChars="200"/>
    </w:pPr>
    <w:rPr>
      <w:sz w:val="24"/>
    </w:rPr>
  </w:style>
  <w:style w:type="paragraph" w:styleId="6">
    <w:name w:val="Body Text"/>
    <w:basedOn w:val="1"/>
    <w:link w:val="2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lang w:eastAsia="en-US"/>
      <w14:ligatures w14:val="none"/>
    </w:rPr>
  </w:style>
  <w:style w:type="character" w:customStyle="1" w:styleId="9">
    <w:name w:val="论文正文 字符"/>
    <w:basedOn w:val="8"/>
    <w:link w:val="3"/>
    <w:qFormat/>
    <w:uiPriority w:val="0"/>
    <w:rPr>
      <w:sz w:val="24"/>
    </w:rPr>
  </w:style>
  <w:style w:type="paragraph" w:customStyle="1" w:styleId="10">
    <w:name w:val="图片标签"/>
    <w:basedOn w:val="1"/>
    <w:next w:val="3"/>
    <w:link w:val="11"/>
    <w:qFormat/>
    <w:uiPriority w:val="0"/>
    <w:pPr>
      <w:numPr>
        <w:ilvl w:val="3"/>
        <w:numId w:val="1"/>
      </w:numPr>
      <w:spacing w:after="25" w:afterLines="25"/>
      <w:jc w:val="center"/>
    </w:pPr>
  </w:style>
  <w:style w:type="character" w:customStyle="1" w:styleId="11">
    <w:name w:val="图片标签 字符"/>
    <w:basedOn w:val="8"/>
    <w:link w:val="10"/>
    <w:qFormat/>
    <w:uiPriority w:val="0"/>
  </w:style>
  <w:style w:type="paragraph" w:customStyle="1" w:styleId="12">
    <w:name w:val="论文图片"/>
    <w:basedOn w:val="1"/>
    <w:next w:val="10"/>
    <w:link w:val="13"/>
    <w:qFormat/>
    <w:uiPriority w:val="0"/>
    <w:pPr>
      <w:keepNext/>
      <w:spacing w:before="25" w:beforeLines="25"/>
      <w:jc w:val="center"/>
    </w:pPr>
  </w:style>
  <w:style w:type="character" w:customStyle="1" w:styleId="13">
    <w:name w:val="论文图片 字符"/>
    <w:basedOn w:val="8"/>
    <w:link w:val="12"/>
    <w:qFormat/>
    <w:uiPriority w:val="0"/>
  </w:style>
  <w:style w:type="paragraph" w:customStyle="1" w:styleId="14">
    <w:name w:val="表格标签"/>
    <w:basedOn w:val="1"/>
    <w:next w:val="1"/>
    <w:link w:val="15"/>
    <w:qFormat/>
    <w:uiPriority w:val="0"/>
    <w:pPr>
      <w:keepNext/>
      <w:spacing w:before="25" w:beforeLines="25"/>
      <w:jc w:val="center"/>
    </w:pPr>
  </w:style>
  <w:style w:type="character" w:customStyle="1" w:styleId="15">
    <w:name w:val="表格标签 字符"/>
    <w:basedOn w:val="8"/>
    <w:link w:val="14"/>
    <w:qFormat/>
    <w:uiPriority w:val="0"/>
  </w:style>
  <w:style w:type="table" w:customStyle="1" w:styleId="16">
    <w:name w:val="论文表格"/>
    <w:basedOn w:val="7"/>
    <w:qFormat/>
    <w:uiPriority w:val="99"/>
    <w:tblPr>
      <w:tblBorders>
        <w:top w:val="single" w:color="000000" w:themeColor="text1" w:sz="12" w:space="0"/>
        <w:bottom w:val="single" w:color="000000" w:themeColor="text1" w:sz="12" w:space="0"/>
      </w:tblBorders>
    </w:tblPr>
    <w:tblStylePr w:type="firstRow">
      <w:pPr>
        <w:jc w:val="center"/>
      </w:p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</w:style>
  <w:style w:type="character" w:customStyle="1" w:styleId="17">
    <w:name w:val="标题 1 字符"/>
    <w:basedOn w:val="8"/>
    <w:link w:val="2"/>
    <w:qFormat/>
    <w:uiPriority w:val="9"/>
    <w:rPr>
      <w:rFonts w:eastAsia="黑体"/>
      <w:bCs/>
      <w:kern w:val="44"/>
      <w:sz w:val="36"/>
      <w:szCs w:val="44"/>
    </w:rPr>
  </w:style>
  <w:style w:type="character" w:customStyle="1" w:styleId="18">
    <w:name w:val="标题 2 字符"/>
    <w:basedOn w:val="8"/>
    <w:link w:val="4"/>
    <w:qFormat/>
    <w:uiPriority w:val="9"/>
    <w:rPr>
      <w:rFonts w:asciiTheme="majorHAnsi" w:hAnsiTheme="majorHAnsi" w:eastAsiaTheme="majorEastAsia" w:cstheme="majorBidi"/>
      <w:bCs/>
      <w:sz w:val="32"/>
      <w:szCs w:val="32"/>
    </w:rPr>
  </w:style>
  <w:style w:type="character" w:customStyle="1" w:styleId="19">
    <w:name w:val="标题 3 字符"/>
    <w:basedOn w:val="8"/>
    <w:link w:val="5"/>
    <w:qFormat/>
    <w:uiPriority w:val="9"/>
    <w:rPr>
      <w:rFonts w:eastAsia="黑体"/>
      <w:bCs/>
      <w:sz w:val="28"/>
      <w:szCs w:val="32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正文文本 字符"/>
    <w:basedOn w:val="8"/>
    <w:link w:val="6"/>
    <w:semiHidden/>
    <w:qFormat/>
    <w:uiPriority w:val="0"/>
    <w:rPr>
      <w:rFonts w:ascii="Arial" w:hAnsi="Arial" w:eastAsia="Arial" w:cs="Arial"/>
      <w:snapToGrid w:val="0"/>
      <w:color w:val="000000"/>
      <w:kern w:val="0"/>
      <w:lang w:eastAsia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1195</Words>
  <Characters>1289</Characters>
  <Lines>11</Lines>
  <Paragraphs>3</Paragraphs>
  <TotalTime>1</TotalTime>
  <ScaleCrop>false</ScaleCrop>
  <LinksUpToDate>false</LinksUpToDate>
  <CharactersWithSpaces>1290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2025-04-30T18:14:00Z</dcterms:created>
  <dc:creator>jintao cai</dc:creator>
  <cp:lastModifiedBy>Bryant</cp:lastModifiedBy>
  <cp:lastPrinted>2025-05-07T14:13:00Z</cp:lastPrinted>
  <dcterms:modified xsi:type="dcterms:W3CDTF">2025-10-28T08:19:07Z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7B38F6DF929D4F56A4438C5FEA42BC80_12</vt:lpwstr>
  </property>
  <property fmtid="{D5CDD505-2E9C-101B-9397-08002B2CF9AE}" pid="4" name="KSOTemplateDocerSaveRecord">
    <vt:lpwstr>eyJoZGlkIjoiNGM3YjhiMWNmMTcwNWIzMjA0NTAwZTJkNTU5ZGQwNWQiLCJ1c2VySWQiOiIyNTcyMTQxNjEifQ==</vt:lpwstr>
  </property>
</Properties>
</file>