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bidi w:val="0"/>
        <w:spacing w:line="360" w:lineRule="auto"/>
        <w:rPr>
          <w:rFonts w:eastAsia="黑体" w:hint="eastAsia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  <w:lang w:val="en-US" w:eastAsia="zh-CN"/>
        </w:rPr>
        <w:t>1</w:t>
      </w:r>
    </w:p>
    <w:p>
      <w:pPr>
        <w:bidi w:val="0"/>
        <w:spacing w:line="360" w:lineRule="auto"/>
        <w:rPr>
          <w:rFonts w:eastAsia="黑体"/>
          <w:sz w:val="32"/>
          <w:szCs w:val="32"/>
        </w:rPr>
      </w:pPr>
    </w:p>
    <w:p>
      <w:pPr>
        <w:bidi w:val="0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《桂林电子科技大学年鉴（202</w:t>
      </w:r>
      <w:r>
        <w:rPr>
          <w:rFonts w:eastAsia="方正小标宋_GBK" w:hint="eastAsia"/>
          <w:sz w:val="44"/>
          <w:szCs w:val="44"/>
          <w:lang w:val="en-US" w:eastAsia="zh-CN"/>
        </w:rPr>
        <w:t>6</w:t>
      </w:r>
      <w:r>
        <w:rPr>
          <w:rFonts w:eastAsia="方正小标宋_GBK"/>
          <w:sz w:val="44"/>
          <w:szCs w:val="44"/>
        </w:rPr>
        <w:t>）》框架与分工</w:t>
      </w:r>
    </w:p>
    <w:p>
      <w:pPr>
        <w:bidi w:val="0"/>
        <w:jc w:val="center"/>
        <w:rPr>
          <w:rFonts w:eastAsia="方正小标宋_GBK"/>
          <w:sz w:val="44"/>
          <w:szCs w:val="44"/>
        </w:rPr>
      </w:pPr>
    </w:p>
    <w:p>
      <w:pPr>
        <w:bidi w:val="0"/>
      </w:pPr>
    </w:p>
    <w:p>
      <w:pPr>
        <w:bidi w:val="0"/>
        <w:ind w:firstLine="294" w:firstLineChars="140"/>
        <w:rPr>
          <w:rFonts w:eastAsia="楷体_GB2312"/>
          <w:sz w:val="30"/>
          <w:szCs w:val="30"/>
        </w:rPr>
      </w:pPr>
      <w:r>
        <w:rPr>
          <w:rFonts w:eastAsia="黑体"/>
          <w:sz w:val="30"/>
          <w:szCs w:val="30"/>
        </w:rPr>
        <w:t>●重要会议（活动）领导讲话</w:t>
      </w:r>
      <w:r>
        <w:rPr>
          <w:rFonts w:eastAsia="楷体_GB2312"/>
          <w:sz w:val="30"/>
          <w:szCs w:val="30"/>
        </w:rPr>
        <w:t>（党政</w:t>
      </w:r>
      <w:r>
        <w:rPr>
          <w:rFonts w:eastAsia="楷体_GB2312" w:hint="eastAsia"/>
          <w:sz w:val="30"/>
          <w:szCs w:val="30"/>
        </w:rPr>
        <w:t>办公室</w:t>
      </w:r>
      <w:r>
        <w:rPr>
          <w:rFonts w:eastAsia="楷体_GB2312"/>
          <w:sz w:val="30"/>
          <w:szCs w:val="30"/>
        </w:rPr>
        <w:t>）</w:t>
      </w:r>
    </w:p>
    <w:p>
      <w:pPr>
        <w:bidi w:val="0"/>
        <w:ind w:firstLine="294" w:firstLineChars="140"/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●桂林电子科技大学概况（</w:t>
      </w:r>
      <w:r>
        <w:rPr>
          <w:rFonts w:eastAsia="楷体_GB2312"/>
          <w:sz w:val="30"/>
          <w:szCs w:val="30"/>
        </w:rPr>
        <w:t>党政办</w:t>
      </w:r>
      <w:r>
        <w:rPr>
          <w:rFonts w:eastAsia="楷体_GB2312" w:hint="eastAsia"/>
          <w:sz w:val="30"/>
          <w:szCs w:val="30"/>
        </w:rPr>
        <w:t>公室</w:t>
      </w:r>
      <w:r>
        <w:rPr>
          <w:rFonts w:eastAsia="黑体"/>
          <w:sz w:val="30"/>
          <w:szCs w:val="30"/>
        </w:rPr>
        <w:t>）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学校综合情况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工作要点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工作总结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●党建和思想政治工作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组织工作（组织部</w:t>
      </w:r>
      <w:r>
        <w:rPr>
          <w:rFonts w:eastAsia="楷体" w:hint="eastAsia"/>
          <w:b/>
          <w:sz w:val="28"/>
          <w:szCs w:val="28"/>
        </w:rPr>
        <w:t>/机关党委</w:t>
      </w:r>
      <w:r>
        <w:rPr>
          <w:rFonts w:eastAsia="楷体"/>
          <w:b/>
          <w:sz w:val="28"/>
          <w:szCs w:val="28"/>
        </w:rPr>
        <w:t>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党组织基本状况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干部队伍建设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党建工作</w:t>
      </w:r>
      <w:r>
        <w:rPr>
          <w:rFonts w:hint="eastAsia"/>
        </w:rPr>
        <w:t>（包括机关党建）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党校工作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学生党建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乡村振兴</w:t>
      </w:r>
      <w:r>
        <w:t>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获奖情况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宣传工作（宣传部</w:t>
      </w:r>
      <w:r>
        <w:rPr>
          <w:rFonts w:eastAsia="楷体" w:hint="eastAsia"/>
          <w:b/>
          <w:sz w:val="28"/>
          <w:szCs w:val="28"/>
        </w:rPr>
        <w:t>、融媒体中心</w:t>
      </w:r>
      <w:r>
        <w:rPr>
          <w:rFonts w:eastAsia="楷体"/>
          <w:b/>
          <w:sz w:val="28"/>
          <w:szCs w:val="28"/>
        </w:rPr>
        <w:t>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理论教育工作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精神文明建设</w:t>
      </w:r>
      <w:r>
        <w:rPr>
          <w:rFonts w:hint="eastAsia"/>
        </w:rPr>
        <w:t>（全国文明校园建设）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思想政治工作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意识形态工作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宣传阵地建设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新闻宣传和媒体报道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广播站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网络电视台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/>
        <w:rPr>
          <w:rFonts w:eastAsia="楷体_GB2312"/>
          <w:b/>
          <w:sz w:val="28"/>
          <w:szCs w:val="28"/>
        </w:rPr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统战工作（统战部）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主要工作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重要事件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  <w:highlight w:val="none"/>
        </w:rPr>
      </w:pPr>
      <w:r>
        <w:rPr>
          <w:rFonts w:eastAsia="楷体"/>
          <w:b/>
          <w:sz w:val="28"/>
          <w:szCs w:val="28"/>
          <w:highlight w:val="none"/>
        </w:rPr>
        <w:t>纪检监察</w:t>
      </w:r>
      <w:r>
        <w:rPr>
          <w:rFonts w:eastAsia="楷体" w:hint="eastAsia"/>
          <w:b/>
          <w:sz w:val="28"/>
          <w:szCs w:val="28"/>
          <w:highlight w:val="none"/>
          <w:lang w:val="en-US" w:eastAsia="zh-CN"/>
        </w:rPr>
        <w:t>工作</w:t>
      </w:r>
      <w:r>
        <w:rPr>
          <w:rFonts w:eastAsia="楷体"/>
          <w:b/>
          <w:sz w:val="28"/>
          <w:szCs w:val="28"/>
          <w:highlight w:val="none"/>
        </w:rPr>
        <w:t>（</w:t>
      </w:r>
      <w:r>
        <w:rPr>
          <w:rFonts w:eastAsia="楷体" w:hint="eastAsia"/>
          <w:b/>
          <w:sz w:val="28"/>
          <w:szCs w:val="28"/>
          <w:highlight w:val="none"/>
          <w:lang w:val="en-US" w:eastAsia="zh-CN"/>
        </w:rPr>
        <w:t>驻校纪检监察组</w:t>
      </w:r>
      <w:r>
        <w:rPr>
          <w:rFonts w:eastAsia="楷体"/>
          <w:b/>
          <w:sz w:val="28"/>
          <w:szCs w:val="28"/>
          <w:highlight w:val="none"/>
        </w:rPr>
        <w:t>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制度建设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党风廉政建设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二级纪委建设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理论教育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信访案件查处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招投标监督工作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left="0" w:firstLine="315" w:leftChars="0" w:firstLineChars="150"/>
        <w:rPr>
          <w:rFonts w:eastAsia="楷体" w:hint="eastAsia"/>
          <w:b/>
          <w:sz w:val="28"/>
          <w:szCs w:val="28"/>
          <w:highlight w:val="none"/>
          <w:lang w:eastAsia="zh-CN"/>
        </w:rPr>
      </w:pPr>
      <w:r>
        <w:rPr>
          <w:rFonts w:eastAsia="楷体" w:hint="eastAsia"/>
          <w:b/>
          <w:sz w:val="28"/>
          <w:szCs w:val="28"/>
          <w:highlight w:val="none"/>
        </w:rPr>
        <w:t>巡察</w:t>
      </w:r>
      <w:r>
        <w:rPr>
          <w:rFonts w:eastAsia="楷体"/>
          <w:b/>
          <w:sz w:val="28"/>
          <w:szCs w:val="28"/>
          <w:highlight w:val="none"/>
        </w:rPr>
        <w:t>工作</w:t>
      </w:r>
      <w:r>
        <w:rPr>
          <w:rFonts w:eastAsia="楷体" w:hint="eastAsia"/>
          <w:b/>
          <w:sz w:val="28"/>
          <w:szCs w:val="28"/>
          <w:highlight w:val="none"/>
          <w:lang w:eastAsia="zh-CN"/>
        </w:rPr>
        <w:t>（</w:t>
      </w:r>
      <w:r>
        <w:rPr>
          <w:rFonts w:eastAsia="楷体" w:hint="eastAsia"/>
          <w:b/>
          <w:sz w:val="28"/>
          <w:szCs w:val="28"/>
          <w:highlight w:val="none"/>
        </w:rPr>
        <w:t>巡察办公室</w:t>
      </w:r>
      <w:r>
        <w:rPr>
          <w:rFonts w:eastAsia="楷体" w:hint="eastAsia"/>
          <w:b/>
          <w:sz w:val="28"/>
          <w:szCs w:val="28"/>
          <w:highlight w:val="none"/>
          <w:lang w:eastAsia="zh-CN"/>
        </w:rPr>
        <w:t>）</w:t>
      </w:r>
    </w:p>
    <w:p>
      <w:pPr>
        <w:bidi w:val="0"/>
        <w:ind w:firstLine="420" w:firstLineChars="200"/>
        <w:rPr>
          <w:rFonts w:ascii="Times New Roman" w:eastAsia="宋体" w:hAnsi="Times New Roman" w:cs="Times New Roman" w:hint="eastAsia"/>
          <w:lang w:val="en-US" w:eastAsia="zh-CN"/>
        </w:rPr>
      </w:pPr>
      <w:r>
        <w:rPr>
          <w:rFonts w:ascii="Times New Roman" w:eastAsia="宋体" w:hAnsi="Times New Roman" w:cs="Times New Roman"/>
        </w:rPr>
        <w:t>【</w:t>
      </w:r>
      <w:r>
        <w:rPr>
          <w:rFonts w:ascii="Times New Roman" w:eastAsia="宋体" w:hAnsi="Times New Roman" w:cs="Times New Roman" w:hint="eastAsia"/>
          <w:lang w:val="en-US" w:eastAsia="zh-CN"/>
        </w:rPr>
        <w:t>概况】</w:t>
      </w:r>
    </w:p>
    <w:p>
      <w:pPr>
        <w:bidi w:val="0"/>
        <w:ind w:firstLine="420" w:firstLineChars="200"/>
        <w:rPr>
          <w:rFonts w:ascii="Times New Roman" w:eastAsia="宋体" w:hAnsi="Times New Roman" w:cs="Times New Roman" w:hint="default"/>
          <w:lang w:val="en-US" w:eastAsia="zh-CN"/>
        </w:rPr>
      </w:pPr>
      <w:r>
        <w:rPr>
          <w:rFonts w:ascii="Times New Roman" w:eastAsia="宋体" w:hAnsi="Times New Roman" w:cs="Times New Roman"/>
        </w:rPr>
        <w:t>【</w:t>
      </w:r>
      <w:r>
        <w:t>制度建设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巡察工作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保密工作（保密办</w:t>
      </w:r>
      <w:r>
        <w:rPr>
          <w:rFonts w:eastAsia="楷体" w:hint="eastAsia"/>
          <w:b/>
          <w:sz w:val="28"/>
          <w:szCs w:val="28"/>
        </w:rPr>
        <w:t>公室、国防军工办公室</w:t>
      </w:r>
      <w:r>
        <w:rPr>
          <w:rFonts w:eastAsia="楷体"/>
          <w:b/>
          <w:sz w:val="28"/>
          <w:szCs w:val="28"/>
        </w:rPr>
        <w:t>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保密管理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保密制度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学生工作</w:t>
      </w:r>
      <w:r>
        <w:rPr>
          <w:rFonts w:eastAsia="楷体" w:hint="eastAsia"/>
          <w:b/>
          <w:sz w:val="28"/>
          <w:szCs w:val="28"/>
          <w:lang w:eastAsia="zh-CN"/>
        </w:rPr>
        <w:t>、</w:t>
      </w:r>
      <w:r>
        <w:rPr>
          <w:rFonts w:eastAsia="楷体" w:hint="eastAsia"/>
          <w:b/>
          <w:sz w:val="28"/>
          <w:szCs w:val="28"/>
          <w:lang w:val="en-US" w:eastAsia="zh-CN"/>
        </w:rPr>
        <w:t>武装工作</w:t>
      </w:r>
      <w:r>
        <w:rPr>
          <w:rFonts w:eastAsia="楷体"/>
          <w:b/>
          <w:sz w:val="28"/>
          <w:szCs w:val="28"/>
        </w:rPr>
        <w:t>（学生工作部(处)</w:t>
      </w:r>
      <w:r>
        <w:rPr>
          <w:rFonts w:eastAsia="楷体" w:hint="eastAsia"/>
          <w:b/>
          <w:sz w:val="28"/>
          <w:szCs w:val="28"/>
          <w:lang w:eastAsia="zh-CN"/>
        </w:rPr>
        <w:t>、</w:t>
      </w:r>
      <w:r>
        <w:rPr>
          <w:rFonts w:eastAsia="楷体" w:hint="eastAsia"/>
          <w:b/>
          <w:sz w:val="28"/>
          <w:szCs w:val="28"/>
          <w:lang w:val="en-US" w:eastAsia="zh-CN"/>
        </w:rPr>
        <w:t>武装部</w:t>
      </w:r>
      <w:r>
        <w:rPr>
          <w:rFonts w:eastAsia="楷体"/>
          <w:b/>
          <w:sz w:val="28"/>
          <w:szCs w:val="28"/>
        </w:rPr>
        <w:t>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思想政治工作（网络思想政治教育）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学生日常管理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学生公寓管理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学风建设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心理咨询工作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学生资助工作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就业工作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获奖情况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附表：桂林电子科技大学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年毕业生分专业就业情况统计表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武装工作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后备军官选拔工作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国防生培养与管理工作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工会、教代会工作（工会）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工会组织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教代会组织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女教职工委员会工作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基层工会工作考核验收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计划生育工作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获奖情况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共青团工作（团委）</w:t>
      </w:r>
    </w:p>
    <w:p>
      <w:pPr>
        <w:bidi w:val="0"/>
        <w:ind w:firstLine="420" w:firstLineChars="200"/>
        <w:rPr>
          <w:rFonts w:ascii="Times New Roman" w:eastAsia="宋体" w:hAnsi="Times New Roman" w:cs="Times New Roman"/>
          <w:b w:val="0"/>
          <w:sz w:val="21"/>
          <w:szCs w:val="24"/>
        </w:rPr>
      </w:pPr>
      <w:r>
        <w:rPr>
          <w:rFonts w:ascii="Times New Roman" w:eastAsia="宋体" w:hAnsi="Times New Roman" w:cs="Times New Roman"/>
        </w:rPr>
        <w:t>【</w:t>
      </w:r>
      <w:r>
        <w:rPr>
          <w:rFonts w:ascii="Times New Roman" w:eastAsia="宋体" w:hAnsi="Times New Roman" w:cs="Times New Roman" w:hint="default"/>
          <w:b w:val="0"/>
          <w:sz w:val="21"/>
          <w:szCs w:val="24"/>
        </w:rP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共青团组织机构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青年思想引领工作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学生科技文化活动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学生艺术文化活动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学生社会实践活动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学生创业教育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学生会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学生社团活动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获奖情况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 xml:space="preserve">离退休管理工作（离退处） </w:t>
      </w:r>
    </w:p>
    <w:p>
      <w:pPr>
        <w:bidi w:val="0"/>
        <w:spacing w:line="320" w:lineRule="atLeast"/>
        <w:ind w:firstLine="420" w:firstLineChars="200"/>
        <w:rPr>
          <w:rFonts w:ascii="Times New Roman" w:eastAsia="宋体" w:hAnsi="Times New Roman" w:cs="Times New Roman"/>
          <w:b w:val="0"/>
          <w:sz w:val="21"/>
          <w:szCs w:val="24"/>
        </w:rPr>
      </w:pPr>
      <w:r>
        <w:rPr>
          <w:rFonts w:ascii="Times New Roman" w:eastAsia="宋体" w:hAnsi="Times New Roman" w:cs="Times New Roman"/>
        </w:rPr>
        <w:t>【</w:t>
      </w:r>
      <w:r>
        <w:rPr>
          <w:rFonts w:ascii="Times New Roman" w:eastAsia="宋体" w:hAnsi="Times New Roman" w:cs="Times New Roman" w:hint="default"/>
          <w:b w:val="0"/>
          <w:sz w:val="21"/>
          <w:szCs w:val="24"/>
        </w:rP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长青学院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关心下一代工作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/>
        <w:rPr>
          <w:rFonts w:eastAsia="黑体"/>
          <w:sz w:val="30"/>
          <w:szCs w:val="30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●教育教学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学位与研究生教育（研究生工作部</w:t>
      </w:r>
      <w:r>
        <w:rPr>
          <w:rFonts w:eastAsia="楷体" w:hint="eastAsia"/>
          <w:b/>
          <w:sz w:val="28"/>
          <w:szCs w:val="28"/>
        </w:rPr>
        <w:t>、研究生院</w:t>
      </w:r>
      <w:r>
        <w:rPr>
          <w:rFonts w:eastAsia="楷体"/>
          <w:b/>
          <w:sz w:val="28"/>
          <w:szCs w:val="28"/>
        </w:rPr>
        <w:t>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招生工作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培养与管理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学位工作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就业工作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科技活动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思想政治教育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研究生会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t>附表1：博士、硕士学位授权学科专业一览表</w:t>
      </w:r>
    </w:p>
    <w:p>
      <w:pPr>
        <w:bidi w:val="0"/>
        <w:spacing w:line="320" w:lineRule="atLeast"/>
        <w:ind w:firstLine="420" w:firstLineChars="200"/>
      </w:pPr>
      <w:r>
        <w:t>附表2：桂林电子科技大学博士研究生导师名录</w:t>
      </w:r>
    </w:p>
    <w:p>
      <w:pPr>
        <w:bidi w:val="0"/>
        <w:spacing w:line="320" w:lineRule="atLeast"/>
        <w:ind w:firstLine="420" w:firstLineChars="200"/>
      </w:pPr>
      <w:r>
        <w:t>附表3：桂林电子科技大学硕士研究生导师名录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/>
        <w:rPr>
          <w:rFonts w:eastAsia="楷体_GB2312"/>
          <w:b/>
          <w:sz w:val="28"/>
          <w:szCs w:val="28"/>
        </w:rPr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本科教育（教务处</w:t>
      </w:r>
      <w:r>
        <w:rPr>
          <w:rFonts w:eastAsia="楷体" w:hint="eastAsia"/>
          <w:b/>
          <w:sz w:val="28"/>
          <w:szCs w:val="28"/>
        </w:rPr>
        <w:t>、教学质量与监测评估中心、创新创业学院、通识教育中心</w:t>
      </w:r>
      <w:r>
        <w:rPr>
          <w:rFonts w:eastAsia="楷体"/>
          <w:b/>
          <w:sz w:val="28"/>
          <w:szCs w:val="28"/>
        </w:rPr>
        <w:t>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一流本科教育建设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本科教学工作审核评估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教学管理（教学制度建设、学籍管理、教学督导等）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教学改革研究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专业建设（一流专业、特色专业建设、工程认证）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课程与教材建设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实践教学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毕业设计和论文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教学成果奖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青年教工教学技能竞赛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t>附表1：普通本科专业设置及在校生数一览表</w:t>
      </w:r>
    </w:p>
    <w:p>
      <w:pPr>
        <w:bidi w:val="0"/>
        <w:spacing w:line="320" w:lineRule="atLeast"/>
        <w:ind w:firstLine="420" w:firstLineChars="200"/>
      </w:pPr>
      <w:r>
        <w:t>附表2：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年获自治区级优质专业一览表</w:t>
      </w:r>
    </w:p>
    <w:p>
      <w:pPr>
        <w:bidi w:val="0"/>
        <w:spacing w:line="320" w:lineRule="atLeast"/>
        <w:ind w:firstLine="420" w:firstLineChars="200"/>
      </w:pPr>
      <w:r>
        <w:t>附表3：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年获自治区级精品课程一览表</w:t>
      </w:r>
    </w:p>
    <w:p>
      <w:pPr>
        <w:bidi w:val="0"/>
        <w:spacing w:line="320" w:lineRule="atLeast"/>
        <w:ind w:firstLine="420" w:firstLineChars="200"/>
      </w:pPr>
      <w:r>
        <w:t>附表4：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年新增教育教学研究（改革）项目一览表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/>
        <w:rPr>
          <w:rFonts w:eastAsia="楷体_GB2312"/>
          <w:b/>
          <w:sz w:val="28"/>
          <w:szCs w:val="28"/>
        </w:rPr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 w:hint="eastAsia"/>
          <w:b/>
          <w:sz w:val="28"/>
          <w:szCs w:val="28"/>
          <w:lang w:val="en-US" w:eastAsia="zh-CN"/>
        </w:rPr>
        <w:t>本科</w:t>
      </w:r>
      <w:r>
        <w:rPr>
          <w:rFonts w:eastAsia="楷体"/>
          <w:b/>
          <w:sz w:val="28"/>
          <w:szCs w:val="28"/>
        </w:rPr>
        <w:t>教育（北海校区）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教学管理（教学制度建设、学籍管理、教学督导等）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教学改革研究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专业建设（特色专业建设）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课程与教材建设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实践教学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毕业设计和论文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教学成果奖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spacing w:line="320" w:lineRule="atLeast"/>
        <w:ind w:left="420"/>
        <w:rPr>
          <w:rFonts w:eastAsia="楷体_GB2312"/>
          <w:b/>
          <w:sz w:val="28"/>
          <w:szCs w:val="28"/>
        </w:rPr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继续教育（继续教育学院）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继续教育招生情况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培训情况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教学与学生管理情况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/>
        <w:rPr>
          <w:rFonts w:eastAsia="楷体_GB2312"/>
          <w:b/>
          <w:sz w:val="28"/>
          <w:szCs w:val="28"/>
        </w:rPr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招生工作（招生办公室）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招生工作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t>附表1：桂林电子科技大学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年各省、市、自治区招生计划表</w:t>
      </w:r>
    </w:p>
    <w:p>
      <w:pPr>
        <w:bidi w:val="0"/>
        <w:spacing w:line="320" w:lineRule="atLeast"/>
        <w:ind w:firstLine="420" w:firstLineChars="200"/>
      </w:pPr>
      <w:r>
        <w:t>附表2：桂林电子科技大学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年艺术类专业计划表</w:t>
      </w:r>
    </w:p>
    <w:p>
      <w:pPr>
        <w:bidi w:val="0"/>
        <w:spacing w:line="320" w:lineRule="atLeast"/>
        <w:ind w:firstLine="420" w:firstLineChars="200"/>
      </w:pPr>
      <w:r>
        <w:t>附表3：桂林电子科技大学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年理科各省、市、自治区录取分数统计表</w:t>
      </w:r>
    </w:p>
    <w:p>
      <w:pPr>
        <w:bidi w:val="0"/>
        <w:spacing w:line="320" w:lineRule="atLeast"/>
        <w:ind w:firstLine="420" w:firstLineChars="200"/>
      </w:pPr>
      <w:r>
        <w:t>附表4：桂林电子科技大学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年文科各省、市、自治区录取分数统计表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/>
        <w:rPr>
          <w:rFonts w:eastAsia="黑体"/>
          <w:sz w:val="30"/>
          <w:szCs w:val="30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●发展规划和学科建设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发展规划与综合改革（发展规划处）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“十</w:t>
      </w:r>
      <w:r>
        <w:rPr>
          <w:rFonts w:hint="eastAsia"/>
        </w:rPr>
        <w:t>四</w:t>
      </w:r>
      <w:r>
        <w:t>五”规划推进工作情况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教育评价</w:t>
      </w:r>
      <w:r>
        <w:t>改革实施情况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学科建设（发展规划处）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一流学科建设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学位授权点建设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重点学科项目建设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学位点申报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博士授权单位申报工作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t>附表1：重点学科一览表</w:t>
      </w:r>
    </w:p>
    <w:p>
      <w:pPr>
        <w:bidi w:val="0"/>
        <w:spacing w:line="320" w:lineRule="atLeast"/>
        <w:ind w:firstLine="420" w:firstLineChars="200"/>
      </w:pPr>
      <w:r>
        <w:t>附表2：学位授权点一览表</w:t>
      </w:r>
    </w:p>
    <w:p>
      <w:pPr>
        <w:bidi w:val="0"/>
        <w:ind w:firstLine="420" w:firstLineChars="200"/>
      </w:pPr>
      <w:r>
        <w:t>…………</w:t>
      </w:r>
    </w:p>
    <w:p>
      <w:pPr>
        <w:bidi w:val="0"/>
        <w:ind w:firstLine="420"/>
        <w:rPr>
          <w:rFonts w:eastAsia="黑体"/>
          <w:sz w:val="30"/>
          <w:szCs w:val="30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●科学研究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科学技术研究（科</w:t>
      </w:r>
      <w:r>
        <w:rPr>
          <w:rFonts w:eastAsia="楷体" w:hint="eastAsia"/>
          <w:b/>
          <w:sz w:val="28"/>
          <w:szCs w:val="28"/>
        </w:rPr>
        <w:t>学技术发展研究</w:t>
      </w:r>
      <w:r>
        <w:rPr>
          <w:rFonts w:eastAsia="楷体"/>
          <w:b/>
          <w:sz w:val="28"/>
          <w:szCs w:val="28"/>
        </w:rPr>
        <w:t>院</w:t>
      </w:r>
      <w:r>
        <w:rPr>
          <w:rFonts w:eastAsia="楷体" w:hint="eastAsia"/>
          <w:b/>
          <w:sz w:val="28"/>
          <w:szCs w:val="28"/>
        </w:rPr>
        <w:t>、科学技术处、社会科学处、产学研合作处（大学科技园管理委员会）、国防军工办公室</w:t>
      </w:r>
      <w:r>
        <w:rPr>
          <w:rFonts w:eastAsia="楷体"/>
          <w:b/>
          <w:sz w:val="28"/>
          <w:szCs w:val="28"/>
        </w:rPr>
        <w:t>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科研机构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科研项目与科研经费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科研成果与获奖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服务地方经济发展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学术论文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重点实验室建设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学术交流活动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科技成果转化与推广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知识产权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科协与科普工作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《桂林电子科技大学学报》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t>附表1：学校科研机构一览表</w:t>
      </w:r>
    </w:p>
    <w:p>
      <w:pPr>
        <w:bidi w:val="0"/>
        <w:spacing w:line="320" w:lineRule="atLeast"/>
        <w:ind w:firstLine="420" w:firstLineChars="200"/>
      </w:pPr>
      <w:r>
        <w:t>附表2：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年学校在研科研项目一览表</w:t>
      </w:r>
    </w:p>
    <w:p>
      <w:pPr>
        <w:bidi w:val="0"/>
        <w:spacing w:line="320" w:lineRule="atLeast"/>
        <w:ind w:firstLine="420" w:firstLineChars="200"/>
      </w:pPr>
      <w:r>
        <w:t>附表3：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年学校科研成果授权专利一览表</w:t>
      </w:r>
    </w:p>
    <w:p>
      <w:pPr>
        <w:bidi w:val="0"/>
        <w:spacing w:line="320" w:lineRule="atLeast"/>
        <w:ind w:firstLine="420" w:firstLineChars="200"/>
      </w:pPr>
      <w:r>
        <w:t>附表4：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年学校重点实验室一览表</w:t>
      </w:r>
    </w:p>
    <w:p>
      <w:pPr>
        <w:bidi w:val="0"/>
        <w:spacing w:line="320" w:lineRule="atLeast"/>
        <w:ind w:firstLine="420" w:firstLineChars="200"/>
      </w:pPr>
      <w:r>
        <w:t>附表5：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年学校科研论文被三大检索系统收录情况一览表</w:t>
      </w:r>
    </w:p>
    <w:p>
      <w:pPr>
        <w:bidi w:val="0"/>
        <w:ind w:firstLine="420" w:firstLineChars="200"/>
        <w:rPr>
          <w:rFonts w:eastAsia="黑体"/>
          <w:sz w:val="30"/>
          <w:szCs w:val="30"/>
        </w:rPr>
      </w:pPr>
      <w:r>
        <w:t>…………</w:t>
      </w:r>
    </w:p>
    <w:p>
      <w:pPr>
        <w:bidi w:val="0"/>
        <w:ind w:firstLine="420"/>
        <w:rPr>
          <w:rFonts w:eastAsia="楷体_GB2312"/>
          <w:bCs/>
          <w:sz w:val="28"/>
          <w:szCs w:val="28"/>
        </w:rPr>
      </w:pPr>
      <w:r>
        <w:rPr>
          <w:rFonts w:eastAsia="黑体"/>
          <w:sz w:val="30"/>
          <w:szCs w:val="30"/>
        </w:rPr>
        <w:t>●师资队伍和人事管理</w:t>
      </w:r>
      <w:r>
        <w:rPr>
          <w:rFonts w:ascii="黑体" w:eastAsia="黑体" w:hAnsi="黑体" w:cs="黑体" w:hint="eastAsia"/>
          <w:bCs/>
          <w:sz w:val="28"/>
          <w:szCs w:val="28"/>
        </w:rPr>
        <w:t>（教师工作部、人事处、职称改革办公室）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教职工队伍状况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师资队伍建设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师德师风建设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技术职称评聘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教师培训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劳资管理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人事档案管理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获奖与资助情况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t>附表1：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年学校教职工结构状况统计表</w:t>
      </w:r>
    </w:p>
    <w:p>
      <w:pPr>
        <w:bidi w:val="0"/>
        <w:spacing w:line="320" w:lineRule="atLeast"/>
        <w:ind w:firstLine="420" w:firstLineChars="200"/>
      </w:pPr>
      <w:r>
        <w:t>附表2：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年学校教职工调入、调出及退休情况统计表</w:t>
      </w:r>
    </w:p>
    <w:p>
      <w:pPr>
        <w:bidi w:val="0"/>
        <w:spacing w:line="320" w:lineRule="atLeast"/>
        <w:ind w:firstLine="420" w:firstLineChars="200"/>
      </w:pPr>
      <w:r>
        <w:t>附表3：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年学校享受国务院政府特殊津贴人员名单</w:t>
      </w:r>
    </w:p>
    <w:p>
      <w:pPr>
        <w:bidi w:val="0"/>
        <w:spacing w:line="320" w:lineRule="atLeast"/>
        <w:ind w:firstLine="420" w:firstLineChars="200"/>
      </w:pPr>
      <w:r>
        <w:t>附表4：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年学校外聘兼职（客座）教授名单</w:t>
      </w:r>
    </w:p>
    <w:p>
      <w:pPr>
        <w:bidi w:val="0"/>
        <w:spacing w:line="320" w:lineRule="atLeast"/>
        <w:ind w:firstLine="420" w:firstLineChars="200"/>
      </w:pPr>
      <w:r>
        <w:t>附表5：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年晋升各类专业技术职务资格人员名单</w:t>
      </w:r>
    </w:p>
    <w:p>
      <w:pPr>
        <w:bidi w:val="0"/>
        <w:spacing w:line="320" w:lineRule="atLeast"/>
        <w:ind w:firstLine="420" w:firstLineChars="200"/>
      </w:pPr>
      <w:r>
        <w:t>附表6：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年学校专任教师学历结构表</w:t>
      </w:r>
    </w:p>
    <w:p>
      <w:pPr>
        <w:bidi w:val="0"/>
        <w:spacing w:line="320" w:lineRule="atLeast"/>
        <w:ind w:firstLine="420" w:firstLineChars="200"/>
      </w:pPr>
      <w:r>
        <w:t>附表7：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年学校专任教师年龄结构表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  <w:rPr>
          <w:rFonts w:eastAsia="黑体"/>
          <w:sz w:val="30"/>
          <w:szCs w:val="30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●对外交流与合作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国际交流与合作（国际合作与交流处、港澳台办公室、国际学院）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校际交流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学术、科技交流与合作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中外合作办学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外国专家工作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在校生出国留学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因公出国派遣工作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来华留学生工作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t>附表1：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年学校与海外院校、科研机构合作情况一览表</w:t>
      </w:r>
    </w:p>
    <w:p>
      <w:pPr>
        <w:bidi w:val="0"/>
        <w:spacing w:line="320" w:lineRule="atLeast"/>
        <w:ind w:firstLine="420" w:firstLineChars="200"/>
      </w:pPr>
      <w:r>
        <w:t>附表2：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</w:t>
      </w:r>
      <w:r>
        <w:rPr>
          <w:rFonts w:hint="eastAsia"/>
          <w:lang w:eastAsia="zh-CN"/>
        </w:rPr>
        <w:t>接收</w:t>
      </w:r>
      <w:r>
        <w:t>留学生情况一览表</w:t>
      </w:r>
    </w:p>
    <w:p>
      <w:pPr>
        <w:bidi w:val="0"/>
        <w:spacing w:line="320" w:lineRule="atLeast"/>
        <w:ind w:firstLine="420" w:firstLineChars="200"/>
      </w:pPr>
      <w:r>
        <w:t>附表2：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年留学生毕业、结业情况统计表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校友工作（校友办公室）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组织建设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宣传教育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校友活动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  <w:rPr>
          <w:rFonts w:eastAsia="黑体"/>
          <w:sz w:val="30"/>
          <w:szCs w:val="30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●管理与服务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财务管理（财务处）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财务收支情况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收费管理工作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财务工作研究与交流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国有资产管理（国资处）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招标采购工作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资产管理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房地产管理工作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校办产业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后勤管理（后勤处）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自来水工程与污水处理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饮食服务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物业管理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水电与维修管理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基建工作（基建处）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绿色学校创建工作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竣工工程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在建工程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校区建设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校园周边环境综合治理工作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校区教学科研保障工作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审计工作（审计处）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财务审计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基建、修缮工程审计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审计监督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培训与交流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 w:hint="eastAsia"/>
          <w:b/>
          <w:sz w:val="28"/>
          <w:szCs w:val="28"/>
        </w:rPr>
        <w:t>安全稳定</w:t>
      </w:r>
      <w:r>
        <w:rPr>
          <w:rFonts w:eastAsia="楷体"/>
          <w:b/>
          <w:sz w:val="28"/>
          <w:szCs w:val="28"/>
        </w:rPr>
        <w:t>工作（保卫处）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治安防范与综合治理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户籍管理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消防工作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  <w:rPr>
          <w:rFonts w:eastAsia="楷体_GB2312"/>
          <w:b/>
          <w:sz w:val="28"/>
          <w:szCs w:val="28"/>
        </w:rPr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图书资料（图书馆）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文献资源建设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读者服务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图书自动化系统建设管理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智慧校园（网络与信息技术中心）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多媒体教学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教育在线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教育技术培训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网络技术升级与改造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智慧校园建设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网络信息应用建设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档案工作（档案馆）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档案库藏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档案收集利用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档案信息化建设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医疗保健（校医院）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疫情防控工作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预防保健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医疗工作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公费医疗管理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医学教育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体制改革与管理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北海校区</w:t>
      </w:r>
      <w:r>
        <w:rPr>
          <w:rFonts w:eastAsia="楷体" w:hint="eastAsia"/>
          <w:b/>
          <w:sz w:val="28"/>
          <w:szCs w:val="28"/>
        </w:rPr>
        <w:t>建设和</w:t>
      </w:r>
      <w:r>
        <w:rPr>
          <w:rFonts w:eastAsia="楷体"/>
          <w:b/>
          <w:sz w:val="28"/>
          <w:szCs w:val="28"/>
        </w:rPr>
        <w:t>管理（北海校区）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  <w:rPr>
          <w:rFonts w:hint="eastAsia"/>
        </w:rPr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校区党建工作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校园周边环境综合治理工作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校区教学科研</w:t>
      </w:r>
      <w:r>
        <w:rPr>
          <w:rFonts w:hint="eastAsia"/>
        </w:rPr>
        <w:t>和人才培养</w:t>
      </w:r>
      <w:r>
        <w:t>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 w:hint="eastAsia"/>
          <w:b/>
          <w:sz w:val="28"/>
          <w:szCs w:val="28"/>
        </w:rPr>
        <w:t>桂电南宁研究院建设和</w:t>
      </w:r>
      <w:r>
        <w:rPr>
          <w:rFonts w:eastAsia="楷体"/>
          <w:b/>
          <w:sz w:val="28"/>
          <w:szCs w:val="28"/>
        </w:rPr>
        <w:t>管理（</w:t>
      </w:r>
      <w:r>
        <w:rPr>
          <w:rFonts w:eastAsia="楷体" w:hint="eastAsia"/>
          <w:b/>
          <w:sz w:val="28"/>
          <w:szCs w:val="28"/>
          <w:lang w:val="en-US" w:eastAsia="zh-CN"/>
        </w:rPr>
        <w:t>广西人工智能学院</w:t>
      </w:r>
      <w:bookmarkStart w:id="0" w:name="_GoBack"/>
      <w:bookmarkEnd w:id="0"/>
      <w:r>
        <w:rPr>
          <w:rFonts w:eastAsia="楷体"/>
          <w:b/>
          <w:sz w:val="28"/>
          <w:szCs w:val="28"/>
        </w:rPr>
        <w:t>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  <w:rPr>
          <w:rFonts w:hint="eastAsia"/>
        </w:rPr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党建工作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教学科研</w:t>
      </w:r>
      <w:r>
        <w:rPr>
          <w:rFonts w:hint="eastAsia"/>
        </w:rPr>
        <w:t>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rPr>
          <w:rFonts w:hint="eastAsia"/>
        </w:rPr>
        <w:t>人才培养</w:t>
      </w:r>
      <w:r>
        <w:t>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 w:firstLineChars="200"/>
      </w:pPr>
    </w:p>
    <w:p>
      <w:pPr>
        <w:bidi w:val="0"/>
        <w:ind w:firstLine="420" w:firstLineChars="200"/>
      </w:pPr>
    </w:p>
    <w:p>
      <w:pPr>
        <w:bidi w:val="0"/>
        <w:ind w:firstLine="420" w:firstLineChars="200"/>
        <w:rPr>
          <w:rFonts w:hint="eastAsia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●教学单位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机电工程学院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信息与通信学院</w:t>
      </w:r>
      <w:r>
        <w:rPr>
          <w:rFonts w:eastAsia="楷体" w:hint="eastAsia"/>
          <w:b/>
          <w:sz w:val="28"/>
          <w:szCs w:val="28"/>
        </w:rPr>
        <w:t>（集成电路学院）</w:t>
      </w:r>
    </w:p>
    <w:p>
      <w:pPr>
        <w:bidi w:val="0"/>
        <w:ind w:firstLine="420"/>
        <w:rPr>
          <w:rFonts w:eastAsia="楷体" w:hint="eastAsia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计算机与信息安全学院</w:t>
      </w:r>
      <w:r>
        <w:rPr>
          <w:rFonts w:eastAsia="楷体" w:hint="eastAsia"/>
          <w:b/>
          <w:sz w:val="28"/>
          <w:szCs w:val="28"/>
        </w:rPr>
        <w:t>（软件学院）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艺术与设计学院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商学院（数字经济学院）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外国语学院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数学与计算科学学院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电子工程与自动化学院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法学院（知识产权学院）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材料科学与工程学院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马克思主义学院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生命与环境科学学院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建筑与交通工程学院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人工智能学院</w:t>
      </w:r>
    </w:p>
    <w:p>
      <w:pPr>
        <w:bidi w:val="0"/>
        <w:ind w:firstLine="420"/>
        <w:rPr>
          <w:rFonts w:eastAsia="楷体" w:hint="eastAsia"/>
          <w:b/>
          <w:sz w:val="28"/>
          <w:szCs w:val="28"/>
        </w:rPr>
      </w:pPr>
      <w:r>
        <w:rPr>
          <w:rFonts w:eastAsia="楷体" w:hint="eastAsia"/>
          <w:b/>
          <w:sz w:val="28"/>
          <w:szCs w:val="28"/>
        </w:rPr>
        <w:t>光电工程学院</w:t>
      </w:r>
    </w:p>
    <w:p>
      <w:pPr>
        <w:bidi w:val="0"/>
        <w:ind w:firstLine="420"/>
        <w:rPr>
          <w:rFonts w:eastAsia="楷体" w:hint="eastAsia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北海校区</w:t>
      </w:r>
      <w:r>
        <w:rPr>
          <w:rFonts w:eastAsia="楷体" w:hint="eastAsia"/>
          <w:b/>
          <w:sz w:val="28"/>
          <w:szCs w:val="28"/>
        </w:rPr>
        <w:t>（5个学院、1学部、1中心）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国际学院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继续教育学院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体育部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</w:p>
    <w:p>
      <w:pPr>
        <w:bidi w:val="0"/>
        <w:ind w:firstLine="420"/>
        <w:rPr>
          <w:rFonts w:eastAsia="楷体"/>
          <w:b/>
          <w:sz w:val="28"/>
          <w:szCs w:val="28"/>
        </w:rPr>
      </w:pPr>
    </w:p>
    <w:p>
      <w:pPr>
        <w:bidi w:val="0"/>
        <w:ind w:firstLine="420"/>
        <w:rPr>
          <w:rFonts w:eastAsia="楷体_GB2312"/>
          <w:b/>
          <w:sz w:val="28"/>
          <w:szCs w:val="28"/>
        </w:rPr>
      </w:pPr>
      <w:r>
        <w:rPr>
          <w:rFonts w:eastAsia="黑体"/>
          <w:sz w:val="30"/>
          <w:szCs w:val="30"/>
        </w:rPr>
        <w:t>●其他单位</w:t>
      </w:r>
    </w:p>
    <w:p>
      <w:pPr>
        <w:bidi w:val="0"/>
        <w:ind w:firstLine="420"/>
        <w:rPr>
          <w:rFonts w:eastAsia="楷体"/>
          <w:b/>
          <w:sz w:val="28"/>
          <w:szCs w:val="28"/>
        </w:rPr>
      </w:pPr>
      <w:r>
        <w:rPr>
          <w:rFonts w:eastAsia="楷体"/>
          <w:b/>
          <w:sz w:val="28"/>
          <w:szCs w:val="28"/>
        </w:rPr>
        <w:t>桂电中学（含</w:t>
      </w:r>
      <w:r>
        <w:rPr>
          <w:rFonts w:eastAsia="楷体" w:hint="eastAsia"/>
          <w:b/>
          <w:sz w:val="28"/>
          <w:szCs w:val="28"/>
        </w:rPr>
        <w:t>桂电附属学校、</w:t>
      </w:r>
      <w:r>
        <w:rPr>
          <w:rFonts w:eastAsia="楷体"/>
          <w:b/>
          <w:sz w:val="28"/>
          <w:szCs w:val="28"/>
        </w:rPr>
        <w:t>桂电幼儿园）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概况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办学理念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师资队伍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学生工作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spacing w:line="320" w:lineRule="atLeast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获奖情况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ind w:firstLine="420" w:firstLineChars="200"/>
      </w:pPr>
    </w:p>
    <w:p>
      <w:pPr>
        <w:bidi w:val="0"/>
        <w:ind w:firstLine="420" w:firstLineChars="200"/>
      </w:pPr>
    </w:p>
    <w:p>
      <w:pPr>
        <w:bidi w:val="0"/>
        <w:ind w:firstLine="420" w:firstLineChars="200"/>
        <w:rPr>
          <w:rFonts w:hint="eastAsia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</w:p>
    <w:p>
      <w:pPr>
        <w:bidi w:val="0"/>
        <w:ind w:firstLine="420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●毕业生名单（教务处、研究生院、北海校区</w:t>
      </w:r>
      <w:r>
        <w:rPr>
          <w:rFonts w:eastAsia="黑体" w:hint="eastAsia"/>
          <w:sz w:val="30"/>
          <w:szCs w:val="30"/>
        </w:rPr>
        <w:t>、继续教育学院</w:t>
      </w:r>
      <w:r>
        <w:rPr>
          <w:rFonts w:eastAsia="黑体"/>
          <w:sz w:val="30"/>
          <w:szCs w:val="30"/>
        </w:rPr>
        <w:t>）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年普通高等教育（本科）毕业生名单（教务处）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年普通高等教育（专科）毕业生名单（</w:t>
      </w:r>
      <w:r>
        <w:rPr>
          <w:rFonts w:hint="eastAsia"/>
        </w:rPr>
        <w:t>北海校区</w:t>
      </w:r>
      <w:r>
        <w:t>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年成人高等学历教育（专科）毕业生名单（继续教育学院）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年成人高等学历教育（本科）毕业生名单（继续教育学院）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年博士毕业生名单（研究生院）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年硕士毕业生名单（研究生院）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rPr>
          <w:rFonts w:ascii="Times New Roman" w:eastAsia="宋体" w:hAnsi="Times New Roman" w:cs="Times New Roman"/>
        </w:rPr>
        <w:t>【</w:t>
      </w:r>
      <w:r>
        <w:t>桂林电子科技大学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5</w:t>
      </w:r>
      <w:r>
        <w:t>年研究生班毕业生名单（研究生院）</w:t>
      </w:r>
      <w:r>
        <w:rPr>
          <w:rFonts w:ascii="Times New Roman" w:eastAsia="宋体" w:hAnsi="Times New Roman" w:cs="Times New Roman" w:hint="eastAsia"/>
          <w:lang w:val="en-US" w:eastAsia="zh-CN"/>
        </w:rPr>
        <w:t>】</w:t>
      </w:r>
    </w:p>
    <w:p>
      <w:pPr>
        <w:bidi w:val="0"/>
        <w:ind w:firstLine="420" w:firstLineChars="200"/>
      </w:pPr>
      <w:r>
        <w:t>……………………</w:t>
      </w:r>
    </w:p>
    <w:p>
      <w:pPr>
        <w:bidi w:val="0"/>
        <w:rPr>
          <w:rFonts w:eastAsia="黑体"/>
          <w:sz w:val="30"/>
          <w:szCs w:val="30"/>
        </w:rPr>
      </w:pPr>
    </w:p>
    <w:p>
      <w:pPr>
        <w:bidi w:val="0"/>
        <w:rPr>
          <w:rFonts w:eastAsia="黑体"/>
          <w:sz w:val="30"/>
          <w:szCs w:val="30"/>
        </w:rPr>
      </w:pPr>
    </w:p>
    <w:p>
      <w:pPr>
        <w:bidi w:val="0"/>
        <w:rPr>
          <w:rFonts w:eastAsia="黑体"/>
          <w:color w:val="000000"/>
          <w:sz w:val="30"/>
          <w:szCs w:val="30"/>
        </w:rPr>
      </w:pPr>
    </w:p>
    <w:p>
      <w:pPr>
        <w:bidi w:val="0"/>
        <w:rPr>
          <w:rFonts w:eastAsia="黑体"/>
          <w:color w:val="000000"/>
          <w:sz w:val="30"/>
          <w:szCs w:val="30"/>
        </w:rPr>
      </w:pPr>
    </w:p>
    <w:p>
      <w:pPr>
        <w:bidi w:val="0"/>
        <w:rPr>
          <w:rFonts w:eastAsia="黑体"/>
          <w:color w:val="000000"/>
          <w:sz w:val="30"/>
          <w:szCs w:val="30"/>
        </w:rPr>
      </w:pPr>
    </w:p>
    <w:p>
      <w:pPr>
        <w:bidi w:val="0"/>
        <w:rPr>
          <w:rFonts w:eastAsia="黑体"/>
          <w:color w:val="000000"/>
          <w:sz w:val="30"/>
          <w:szCs w:val="30"/>
        </w:rPr>
      </w:pPr>
    </w:p>
    <w:p>
      <w:pPr>
        <w:tabs>
          <w:tab w:val="left" w:pos="1440"/>
        </w:tabs>
        <w:bidi w:val="0"/>
        <w:spacing w:line="640" w:lineRule="exact"/>
        <w:rPr>
          <w:rFonts w:hint="eastAsia"/>
        </w:rPr>
      </w:pPr>
    </w:p>
    <w:sectPr>
      <w:footerReference w:type="even" r:id="rId4"/>
      <w:footerReference w:type="default" r:id="rId5"/>
      <w:pgSz w:w="11907" w:h="16840"/>
      <w:pgMar w:top="2098" w:right="1304" w:bottom="1304" w:left="1588" w:header="851" w:footer="1361" w:gutter="0"/>
      <w:cols w:num="1" w:space="72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bidi w:val="0"/>
      <w:ind w:firstLine="210" w:firstLineChars="100"/>
    </w:pPr>
    <w:r>
      <w:rPr>
        <w:rStyle w:val="PageNumber"/>
        <w:rFonts w:ascii="宋体" w:hAnsi="宋体" w:hint="eastAsia"/>
        <w:spacing w:val="-8"/>
        <w:sz w:val="28"/>
        <w:szCs w:val="28"/>
      </w:rPr>
      <w:t xml:space="preserve">—  </w:t>
    </w:r>
    <w:r>
      <w:rPr>
        <w:rFonts w:ascii="宋体" w:hAnsi="宋体"/>
        <w:spacing w:val="-8"/>
        <w:sz w:val="28"/>
        <w:szCs w:val="28"/>
      </w:rPr>
      <w:fldChar w:fldCharType="begin"/>
    </w:r>
    <w:r>
      <w:rPr>
        <w:rStyle w:val="PageNumber"/>
        <w:rFonts w:ascii="宋体" w:hAnsi="宋体"/>
        <w:spacing w:val="-8"/>
        <w:sz w:val="28"/>
        <w:szCs w:val="28"/>
      </w:rPr>
      <w:instrText xml:space="preserve"> PAGE </w:instrText>
    </w:r>
    <w:r>
      <w:rPr>
        <w:rFonts w:ascii="宋体" w:hAnsi="宋体"/>
        <w:spacing w:val="-8"/>
        <w:sz w:val="28"/>
        <w:szCs w:val="28"/>
      </w:rPr>
      <w:fldChar w:fldCharType="separate"/>
    </w:r>
    <w:r>
      <w:rPr>
        <w:rStyle w:val="PageNumber"/>
        <w:rFonts w:ascii="宋体" w:hAnsi="宋体"/>
        <w:spacing w:val="-8"/>
        <w:sz w:val="28"/>
        <w:szCs w:val="28"/>
      </w:rPr>
      <w:t>4</w:t>
    </w:r>
    <w:r>
      <w:rPr>
        <w:rFonts w:ascii="宋体" w:hAnsi="宋体"/>
        <w:spacing w:val="-8"/>
        <w:sz w:val="28"/>
        <w:szCs w:val="28"/>
      </w:rPr>
      <w:fldChar w:fldCharType="end"/>
    </w:r>
    <w:r>
      <w:rPr>
        <w:rStyle w:val="PageNumber"/>
        <w:rFonts w:ascii="宋体" w:hAnsi="宋体" w:hint="eastAsia"/>
        <w:spacing w:val="-8"/>
        <w:sz w:val="28"/>
        <w:szCs w:val="28"/>
      </w:rPr>
      <w:t xml:space="preserve"> 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bidi w:val="0"/>
      <w:ind w:right="264"/>
      <w:jc w:val="right"/>
    </w:pPr>
    <w:r>
      <w:rPr>
        <w:rStyle w:val="PageNumber"/>
        <w:rFonts w:hint="eastAsia"/>
        <w:color w:val="000000"/>
        <w:spacing w:val="-8"/>
        <w:sz w:val="28"/>
        <w:szCs w:val="28"/>
      </w:rPr>
      <w:t xml:space="preserve">—  </w:t>
    </w:r>
    <w:r>
      <w:rPr>
        <w:color w:val="000000"/>
        <w:spacing w:val="-8"/>
        <w:sz w:val="28"/>
        <w:szCs w:val="28"/>
      </w:rPr>
      <w:fldChar w:fldCharType="begin"/>
    </w:r>
    <w:r>
      <w:rPr>
        <w:rStyle w:val="PageNumber"/>
        <w:color w:val="000000"/>
        <w:spacing w:val="-8"/>
        <w:sz w:val="28"/>
        <w:szCs w:val="28"/>
      </w:rPr>
      <w:instrText xml:space="preserve"> PAGE </w:instrText>
    </w:r>
    <w:r>
      <w:rPr>
        <w:color w:val="000000"/>
        <w:spacing w:val="-8"/>
        <w:sz w:val="28"/>
        <w:szCs w:val="28"/>
      </w:rPr>
      <w:fldChar w:fldCharType="separate"/>
    </w:r>
    <w:r>
      <w:rPr>
        <w:rStyle w:val="PageNumber"/>
        <w:color w:val="000000"/>
        <w:spacing w:val="-8"/>
        <w:sz w:val="28"/>
        <w:szCs w:val="28"/>
      </w:rPr>
      <w:t>3</w:t>
    </w:r>
    <w:r>
      <w:rPr>
        <w:color w:val="000000"/>
        <w:spacing w:val="-8"/>
        <w:sz w:val="28"/>
        <w:szCs w:val="28"/>
      </w:rPr>
      <w:fldChar w:fldCharType="end"/>
    </w:r>
    <w:r>
      <w:rPr>
        <w:rStyle w:val="PageNumber"/>
        <w:rFonts w:hint="eastAsia"/>
        <w:color w:val="000000"/>
        <w:spacing w:val="-8"/>
        <w:sz w:val="28"/>
        <w:szCs w:val="28"/>
      </w:rPr>
      <w:t xml:space="preserve"> 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xZDQzODNiNGFhYTZjYmQxOWY0ODQ5ZjRkMTAxNzM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0" w:unhideWhenUsed="0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uiPriority="0" w:unhideWhenUsed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rPr>
      <w:rFonts w:ascii="Times New Roman" w:eastAsia="宋体" w:hAnsi="Times New Roman" w:cs="Times New Roman"/>
    </w:rPr>
  </w:style>
  <w:style w:type="table" w:default="1" w:styleId="TableNormal">
    <w:name w:val="Normal Table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qFormat/>
    <w:pPr>
      <w:shd w:val="clear" w:color="auto" w:fill="000080"/>
    </w:pPr>
    <w:rPr>
      <w:rFonts w:ascii="Times New Roman" w:eastAsia="宋体" w:hAnsi="Times New Roman" w:cs="Times New Roman"/>
    </w:rPr>
  </w:style>
  <w:style w:type="paragraph" w:styleId="CommentText">
    <w:name w:val="annotation text"/>
    <w:basedOn w:val="Normal"/>
    <w:uiPriority w:val="99"/>
    <w:unhideWhenUsed/>
    <w:pPr>
      <w:jc w:val="left"/>
    </w:pPr>
  </w:style>
  <w:style w:type="paragraph" w:styleId="BodyText">
    <w:name w:val="Body Text"/>
    <w:basedOn w:val="Normal"/>
    <w:qFormat/>
    <w:rPr>
      <w:rFonts w:ascii="Times New Roman" w:eastAsia="宋体" w:hAnsi="Times New Roman" w:cs="Times New Roman"/>
      <w:sz w:val="32"/>
    </w:rPr>
  </w:style>
  <w:style w:type="paragraph" w:styleId="Date">
    <w:name w:val="Date"/>
    <w:basedOn w:val="Normal"/>
    <w:next w:val="Normal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qFormat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rPr>
      <w:rFonts w:ascii="Times New Roman" w:eastAsia="宋体" w:hAnsi="Times New Roman" w:cs="Times New Roman"/>
    </w:rPr>
  </w:style>
  <w:style w:type="character" w:styleId="Hyperlink">
    <w:name w:val="Hyperlink"/>
    <w:rPr>
      <w:rFonts w:ascii="Times New Roman" w:eastAsia="宋体" w:hAnsi="Times New Roman" w:cs="Times New Roman"/>
      <w:color w:val="0000FF"/>
      <w:u w:val="single"/>
    </w:rPr>
  </w:style>
  <w:style w:type="character" w:customStyle="1" w:styleId="style331">
    <w:name w:val="style331"/>
    <w:qFormat/>
    <w:rPr>
      <w:rFonts w:ascii="宋体" w:eastAsia="宋体" w:hAnsi="宋体" w:cs="Times New Roman" w:hint="eastAsia"/>
      <w:sz w:val="21"/>
      <w:szCs w:val="21"/>
    </w:rPr>
  </w:style>
  <w:style w:type="paragraph" w:customStyle="1" w:styleId="Char">
    <w:name w:val="Char"/>
    <w:basedOn w:val="DocumentMap"/>
    <w:qFormat/>
    <w:pPr>
      <w:adjustRightInd w:val="0"/>
      <w:spacing w:line="436" w:lineRule="exact"/>
    </w:pPr>
    <w:rPr>
      <w:rFonts w:ascii="Times New Roman" w:eastAsia="宋体" w:hAnsi="Times New Roman" w:cs="Times New Roman"/>
      <w:szCs w:val="20"/>
    </w:rPr>
  </w:style>
  <w:style w:type="paragraph" w:customStyle="1" w:styleId="Style16">
    <w:name w:val="_Style 1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3319</Words>
  <Characters>3600</Characters>
  <Application>Microsoft Office Word</Application>
  <DocSecurity>0</DocSecurity>
  <Lines>26</Lines>
  <Paragraphs>7</Paragraphs>
  <ScaleCrop>false</ScaleCrop>
  <Company/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微软用户</dc:creator>
  <cp:lastModifiedBy>1120195</cp:lastModifiedBy>
  <cp:revision>3</cp:revision>
  <cp:lastPrinted>2022-06-21T03:01:00Z</cp:lastPrinted>
  <dcterms:created xsi:type="dcterms:W3CDTF">2022-06-21T02:39:00Z</dcterms:created>
  <dcterms:modified xsi:type="dcterms:W3CDTF">2026-05-13T04:32:31Z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57F8FD8FFAE049CAB847F98A9984418E_13</vt:lpwstr>
  </property>
  <property fmtid="{D5CDD505-2E9C-101B-9397-08002B2CF9AE}" pid="3" name="KSOProductBuildVer">
    <vt:lpwstr>2052-12.1.0.25865</vt:lpwstr>
  </property>
  <property fmtid="{D5CDD505-2E9C-101B-9397-08002B2CF9AE}" pid="4" name="KSOTemplateDocerSaveRecord">
    <vt:lpwstr>eyJoZGlkIjoiYzFhZGY0ZTViYWQyN2I0ZGJhNDk0OThkMjNkNmQ2MDYiLCJ1c2VySWQiOiI0MzY1MTgyMjMifQ==</vt:lpwstr>
  </property>
</Properties>
</file>