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15533" w14:textId="77777777" w:rsidR="00B6304F" w:rsidRDefault="00B6304F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576E4AFC" w14:textId="1467467D" w:rsidR="00B6304F" w:rsidRPr="00D8084F" w:rsidRDefault="00B6304F" w:rsidP="00B6304F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3C6EA5">
        <w:rPr>
          <w:rFonts w:ascii="方正小标宋简体" w:eastAsia="方正小标宋简体" w:hAnsi="Calibri" w:cstheme="minorBidi" w:hint="eastAsia"/>
          <w:sz w:val="28"/>
          <w:szCs w:val="28"/>
        </w:rPr>
        <w:t>7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000731" w:rsidRPr="00000731" w14:paraId="24AC20E4" w14:textId="77777777" w:rsidTr="00F32DF9">
        <w:trPr>
          <w:trHeight w:hRule="exact" w:val="851"/>
        </w:trPr>
        <w:tc>
          <w:tcPr>
            <w:tcW w:w="1555" w:type="dxa"/>
            <w:vAlign w:val="center"/>
          </w:tcPr>
          <w:p w14:paraId="0AD6F351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7341216C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华为技术有限公司</w:t>
            </w:r>
            <w:r w:rsidRPr="00000731">
              <w:rPr>
                <w:rFonts w:hint="eastAsia"/>
              </w:rPr>
              <w:t xml:space="preserve"> </w:t>
            </w:r>
            <w:r w:rsidRPr="00000731">
              <w:rPr>
                <w:rFonts w:hint="eastAsia"/>
              </w:rPr>
              <w:t>光产品线</w:t>
            </w:r>
          </w:p>
        </w:tc>
      </w:tr>
      <w:tr w:rsidR="00000731" w:rsidRPr="00000731" w14:paraId="513FAE84" w14:textId="77777777" w:rsidTr="00F32DF9">
        <w:trPr>
          <w:trHeight w:hRule="exact" w:val="851"/>
        </w:trPr>
        <w:tc>
          <w:tcPr>
            <w:tcW w:w="1555" w:type="dxa"/>
            <w:vAlign w:val="center"/>
          </w:tcPr>
          <w:p w14:paraId="7A768E56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313F6C55" w14:textId="2C5AE56E" w:rsidR="00000731" w:rsidRPr="00000731" w:rsidRDefault="00000731" w:rsidP="00000731">
            <w:pPr>
              <w:keepNext/>
              <w:widowControl/>
              <w:snapToGrid/>
              <w:spacing w:before="240" w:after="240" w:line="240" w:lineRule="auto"/>
              <w:ind w:left="432" w:firstLineChars="0" w:hanging="432"/>
              <w:outlineLvl w:val="0"/>
              <w:rPr>
                <w:rFonts w:ascii="Arial" w:eastAsia="黑体" w:hAnsi="Arial"/>
                <w:b/>
                <w:kern w:val="0"/>
                <w:sz w:val="32"/>
                <w:szCs w:val="32"/>
              </w:rPr>
            </w:pPr>
            <w:r w:rsidRPr="00000731">
              <w:rPr>
                <w:rFonts w:ascii="Arial" w:eastAsia="黑体" w:hAnsi="Arial" w:hint="eastAsia"/>
                <w:b/>
                <w:kern w:val="0"/>
                <w:sz w:val="32"/>
                <w:szCs w:val="32"/>
              </w:rPr>
              <w:t>大图信号灯检测</w:t>
            </w:r>
          </w:p>
          <w:p w14:paraId="692BD2B7" w14:textId="77777777" w:rsidR="00000731" w:rsidRPr="00000731" w:rsidRDefault="00000731" w:rsidP="00000731">
            <w:pPr>
              <w:spacing w:line="240" w:lineRule="auto"/>
              <w:ind w:firstLineChars="0" w:firstLine="0"/>
            </w:pPr>
          </w:p>
        </w:tc>
      </w:tr>
      <w:tr w:rsidR="00000731" w:rsidRPr="00000731" w14:paraId="5ABD296C" w14:textId="77777777" w:rsidTr="00F32DF9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1316D758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</w:tcPr>
          <w:p w14:paraId="6E501931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000731"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11E35EEB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机器视觉</w:t>
            </w:r>
          </w:p>
        </w:tc>
      </w:tr>
      <w:tr w:rsidR="00000731" w:rsidRPr="00000731" w14:paraId="0647A337" w14:textId="77777777" w:rsidTr="00F32DF9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25EAFC16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</w:tcPr>
          <w:p w14:paraId="42D5A864" w14:textId="77777777" w:rsidR="00000731" w:rsidRPr="00000731" w:rsidRDefault="00000731" w:rsidP="00000731">
            <w:pPr>
              <w:ind w:left="360" w:firstLine="480"/>
              <w:rPr>
                <w:color w:val="727272"/>
                <w:szCs w:val="21"/>
                <w:shd w:val="clear" w:color="auto" w:fill="FFFFFF"/>
              </w:rPr>
            </w:pPr>
            <w:r w:rsidRPr="00000731"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19A9DA59" w14:textId="77777777" w:rsidR="00000731" w:rsidRPr="00000731" w:rsidRDefault="00000731" w:rsidP="00000731">
            <w:pPr>
              <w:ind w:left="360" w:firstLine="480"/>
            </w:pPr>
            <w:r w:rsidRPr="00000731">
              <w:rPr>
                <w:rFonts w:hint="eastAsia"/>
              </w:rPr>
              <w:t>AI</w:t>
            </w:r>
            <w:r w:rsidRPr="00000731">
              <w:rPr>
                <w:rFonts w:hint="eastAsia"/>
              </w:rPr>
              <w:t>交通信号灯智能检测方案</w:t>
            </w:r>
          </w:p>
          <w:p w14:paraId="242A4FE4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000731" w:rsidRPr="00000731" w14:paraId="1AEC7FE4" w14:textId="77777777" w:rsidTr="00AD7F76">
        <w:trPr>
          <w:cantSplit/>
          <w:trHeight w:hRule="exact" w:val="6418"/>
        </w:trPr>
        <w:tc>
          <w:tcPr>
            <w:tcW w:w="1555" w:type="dxa"/>
            <w:vAlign w:val="center"/>
          </w:tcPr>
          <w:p w14:paraId="64D218B9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6741" w:type="dxa"/>
          </w:tcPr>
          <w:p w14:paraId="6B0B67AB" w14:textId="77777777" w:rsidR="00000731" w:rsidRPr="00AD7F76" w:rsidRDefault="00000731" w:rsidP="00B6304F">
            <w:pPr>
              <w:spacing w:line="240" w:lineRule="auto"/>
              <w:ind w:firstLine="480"/>
            </w:pPr>
            <w:r w:rsidRPr="00AD7F76">
              <w:rPr>
                <w:rFonts w:hint="eastAsia"/>
              </w:rPr>
              <w:t>交通信号灯识别是交通管理、自动驾驶和辅助驾驶等领域中重要的组成部分，获取准确实时的交通信号灯状态，可以降低交通事故的发生，提高交通运行效率，也是电子警察闯红灯执法的重要依据。然而，目前的交通信号灯由于目标较小，分辨率低，在背景复杂、干扰光源多的场景下识别率不高。此外，在视频检测中，实时性是必须要考虑的重要问题，因此模型的检测速度必须要高。</w:t>
            </w:r>
          </w:p>
          <w:p w14:paraId="2F94EBA1" w14:textId="77777777" w:rsidR="00000731" w:rsidRPr="00AD7F76" w:rsidRDefault="00000731" w:rsidP="00B6304F">
            <w:pPr>
              <w:spacing w:line="240" w:lineRule="auto"/>
              <w:ind w:firstLine="480"/>
            </w:pPr>
            <w:r w:rsidRPr="00AD7F76">
              <w:rPr>
                <w:rFonts w:hint="eastAsia"/>
              </w:rPr>
              <w:t>信号灯识别的主要挑战：</w:t>
            </w:r>
          </w:p>
          <w:p w14:paraId="7F205787" w14:textId="77777777" w:rsidR="00000731" w:rsidRPr="00AD7F76" w:rsidRDefault="00000731" w:rsidP="00B6304F">
            <w:pPr>
              <w:spacing w:line="240" w:lineRule="auto"/>
              <w:ind w:firstLine="480"/>
            </w:pPr>
            <w:r w:rsidRPr="00AD7F76">
              <w:rPr>
                <w:rFonts w:hint="eastAsia"/>
              </w:rPr>
              <w:t>某些较大的路口信号灯灯组安装可能不止一个，应该从整幅大图中识别出多个目标较小的信号灯组盘，并能确定其状态（红、绿、黄）、导向（直行、左转、右转、掉头，圆盘灯可以识别为直行或左转）、位置（红绿黄灯的空间位置，宽度、高度、中心点横坐标、纵坐标）等信息。</w:t>
            </w:r>
          </w:p>
          <w:p w14:paraId="16CAC04B" w14:textId="77777777" w:rsidR="00000731" w:rsidRPr="00AD7F76" w:rsidRDefault="00000731" w:rsidP="00B6304F">
            <w:pPr>
              <w:spacing w:line="240" w:lineRule="auto"/>
              <w:ind w:firstLine="480"/>
            </w:pPr>
            <w:r w:rsidRPr="00AD7F76">
              <w:rPr>
                <w:rFonts w:hint="eastAsia"/>
              </w:rPr>
              <w:t>视频检测要考虑资源占用，信号灯检测模型的检测速度不得小于</w:t>
            </w:r>
            <w:r w:rsidRPr="00AD7F76">
              <w:rPr>
                <w:rFonts w:hint="eastAsia"/>
              </w:rPr>
              <w:t>60FPS</w:t>
            </w:r>
            <w:r w:rsidRPr="00AD7F76">
              <w:rPr>
                <w:rFonts w:hint="eastAsia"/>
              </w:rPr>
              <w:t>，模型占用空间不得大于</w:t>
            </w:r>
            <w:r w:rsidRPr="00AD7F76">
              <w:rPr>
                <w:rFonts w:hint="eastAsia"/>
              </w:rPr>
              <w:t>6M</w:t>
            </w:r>
            <w:r w:rsidRPr="00AD7F76">
              <w:rPr>
                <w:rFonts w:hint="eastAsia"/>
              </w:rPr>
              <w:t>。</w:t>
            </w:r>
          </w:p>
          <w:p w14:paraId="7B3FC699" w14:textId="77777777" w:rsidR="00000731" w:rsidRPr="00AD7F76" w:rsidRDefault="00000731" w:rsidP="00000731">
            <w:pPr>
              <w:spacing w:line="240" w:lineRule="auto"/>
              <w:ind w:firstLineChars="0" w:firstLine="0"/>
            </w:pPr>
            <w:r w:rsidRPr="00AD7F76">
              <w:rPr>
                <w:rFonts w:hint="eastAsia"/>
              </w:rPr>
              <w:t>倒计时灯的检测可以不做考虑。</w:t>
            </w:r>
          </w:p>
          <w:p w14:paraId="58B2D51D" w14:textId="77777777" w:rsidR="00000731" w:rsidRPr="00AD7F76" w:rsidRDefault="00000731" w:rsidP="00000731">
            <w:pPr>
              <w:spacing w:line="240" w:lineRule="auto"/>
              <w:ind w:firstLineChars="0" w:firstLine="0"/>
              <w:rPr>
                <w:color w:val="727272"/>
                <w:shd w:val="clear" w:color="auto" w:fill="FFFFFF"/>
              </w:rPr>
            </w:pPr>
          </w:p>
          <w:p w14:paraId="5FA6AB5A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808722A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710804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F155D5C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1AB7627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9E0870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5A87DEB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BF37590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5F2034E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075BA0D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F6F6229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0F1585C8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7B9F6B0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4399E25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174D3F8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9F4CBD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F3C4BE0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37378B45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8E6A710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3A3F836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47622EE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326F347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384FDD82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AF1A1A9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52D3BDA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01F1020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2BA6368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3846712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972F2A9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39D3FE0F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4C655ED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7DB1BB9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BC34BA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E39BEB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855B6FD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7B59D934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40EEA32A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DF66517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090ED3D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22E9F462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0451286D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38888263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67FEF0EC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3A6D6939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  <w:p w14:paraId="126A813B" w14:textId="77777777" w:rsidR="00000731" w:rsidRPr="00B6304F" w:rsidRDefault="00000731" w:rsidP="00000731">
            <w:pPr>
              <w:spacing w:line="240" w:lineRule="auto"/>
              <w:ind w:firstLineChars="0" w:firstLine="0"/>
              <w:rPr>
                <w:color w:val="727272"/>
                <w:sz w:val="28"/>
                <w:szCs w:val="28"/>
                <w:shd w:val="clear" w:color="auto" w:fill="FFFFFF"/>
              </w:rPr>
            </w:pPr>
          </w:p>
        </w:tc>
      </w:tr>
      <w:tr w:rsidR="00000731" w:rsidRPr="00000731" w14:paraId="4BD3F8F2" w14:textId="77777777" w:rsidTr="00F32DF9">
        <w:trPr>
          <w:trHeight w:hRule="exact" w:val="3696"/>
        </w:trPr>
        <w:tc>
          <w:tcPr>
            <w:tcW w:w="1555" w:type="dxa"/>
            <w:vAlign w:val="center"/>
          </w:tcPr>
          <w:p w14:paraId="7DF2FDEE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lastRenderedPageBreak/>
              <w:t>答题所需软硬件资源</w:t>
            </w:r>
          </w:p>
        </w:tc>
        <w:tc>
          <w:tcPr>
            <w:tcW w:w="6741" w:type="dxa"/>
          </w:tcPr>
          <w:p w14:paraId="6E0484D3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000731">
              <w:rPr>
                <w:rFonts w:hint="eastAsia"/>
                <w:color w:val="727272"/>
                <w:szCs w:val="21"/>
                <w:shd w:val="clear" w:color="auto" w:fill="FFFFFF"/>
              </w:rPr>
              <w:t>（请写明团队完成命题所需用到的软硬件资源）</w:t>
            </w:r>
          </w:p>
          <w:p w14:paraId="3E688C1D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B6304F">
              <w:rPr>
                <w:rFonts w:hint="eastAsia"/>
                <w:sz w:val="28"/>
                <w:szCs w:val="28"/>
              </w:rPr>
              <w:t>算法</w:t>
            </w:r>
          </w:p>
        </w:tc>
      </w:tr>
      <w:tr w:rsidR="00000731" w:rsidRPr="00000731" w14:paraId="55E7C372" w14:textId="77777777" w:rsidTr="00F32DF9">
        <w:trPr>
          <w:trHeight w:hRule="exact" w:val="4546"/>
        </w:trPr>
        <w:tc>
          <w:tcPr>
            <w:tcW w:w="1555" w:type="dxa"/>
            <w:vAlign w:val="center"/>
          </w:tcPr>
          <w:p w14:paraId="1E022F89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提交材料和评价方法</w:t>
            </w:r>
          </w:p>
        </w:tc>
        <w:tc>
          <w:tcPr>
            <w:tcW w:w="6741" w:type="dxa"/>
          </w:tcPr>
          <w:p w14:paraId="54E66985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（</w:t>
            </w:r>
            <w:r w:rsidRPr="00000731">
              <w:rPr>
                <w:rFonts w:hint="eastAsia"/>
              </w:rPr>
              <w:t>1</w:t>
            </w:r>
            <w:r w:rsidRPr="00000731">
              <w:rPr>
                <w:rFonts w:hint="eastAsia"/>
              </w:rPr>
              <w:t>）</w:t>
            </w:r>
            <w:r w:rsidRPr="00000731">
              <w:rPr>
                <w:rFonts w:hint="eastAsia"/>
              </w:rPr>
              <w:tab/>
            </w:r>
            <w:r w:rsidRPr="00000731">
              <w:rPr>
                <w:rFonts w:hint="eastAsia"/>
              </w:rPr>
              <w:t>根据可参考的开源数据集，设计和实现信号灯检测模型，可在不同天气条件下的路口等复杂场景进行通过率验证。</w:t>
            </w:r>
          </w:p>
          <w:p w14:paraId="266AE97C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（</w:t>
            </w:r>
            <w:r w:rsidRPr="00000731">
              <w:rPr>
                <w:rFonts w:hint="eastAsia"/>
              </w:rPr>
              <w:t>2</w:t>
            </w:r>
            <w:r w:rsidRPr="00000731">
              <w:rPr>
                <w:rFonts w:hint="eastAsia"/>
              </w:rPr>
              <w:t>）</w:t>
            </w:r>
            <w:r w:rsidRPr="00000731">
              <w:rPr>
                <w:rFonts w:hint="eastAsia"/>
              </w:rPr>
              <w:tab/>
            </w:r>
            <w:r w:rsidRPr="00000731">
              <w:rPr>
                <w:rFonts w:hint="eastAsia"/>
              </w:rPr>
              <w:t>可利用外部数据进行增强算法或仿真数据进行模型预训练等（需给出所使用数据集的说明文档），并最终在测试集上进行测试，证明方法的有效性。</w:t>
            </w:r>
          </w:p>
          <w:p w14:paraId="6E8C0F8A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（</w:t>
            </w:r>
            <w:r w:rsidRPr="00000731">
              <w:rPr>
                <w:rFonts w:hint="eastAsia"/>
              </w:rPr>
              <w:t>3</w:t>
            </w:r>
            <w:r w:rsidRPr="00000731">
              <w:rPr>
                <w:rFonts w:hint="eastAsia"/>
              </w:rPr>
              <w:t>）</w:t>
            </w:r>
            <w:r w:rsidRPr="00000731">
              <w:rPr>
                <w:rFonts w:hint="eastAsia"/>
              </w:rPr>
              <w:tab/>
            </w:r>
            <w:r w:rsidRPr="00000731">
              <w:rPr>
                <w:rFonts w:hint="eastAsia"/>
              </w:rPr>
              <w:t>竞赛得分部分根据选手提交的方案在测试集（包括公开测试集和非公开测试集）上的运行结果给出，信号灯尺寸占整幅画面较小的数据应该在测试集中占相当的比例，以评估对小目标检测的准确性。</w:t>
            </w:r>
          </w:p>
          <w:p w14:paraId="0E3D04A4" w14:textId="77777777" w:rsidR="00000731" w:rsidRPr="00000731" w:rsidRDefault="00000731" w:rsidP="00000731">
            <w:pPr>
              <w:spacing w:line="240" w:lineRule="auto"/>
              <w:ind w:firstLineChars="0" w:firstLine="0"/>
            </w:pPr>
            <w:r w:rsidRPr="00000731">
              <w:rPr>
                <w:rFonts w:hint="eastAsia"/>
              </w:rPr>
              <w:t>（</w:t>
            </w:r>
            <w:r w:rsidRPr="00000731">
              <w:rPr>
                <w:rFonts w:hint="eastAsia"/>
              </w:rPr>
              <w:t>4</w:t>
            </w:r>
            <w:r w:rsidRPr="00000731">
              <w:rPr>
                <w:rFonts w:hint="eastAsia"/>
              </w:rPr>
              <w:t>）</w:t>
            </w:r>
            <w:r w:rsidRPr="00000731">
              <w:rPr>
                <w:rFonts w:hint="eastAsia"/>
              </w:rPr>
              <w:tab/>
            </w:r>
            <w:r w:rsidRPr="00000731">
              <w:rPr>
                <w:rFonts w:hint="eastAsia"/>
              </w:rPr>
              <w:t>专家评分由评委组对选手所提交的方案的新颖性、合理性等进行打分。因此，参赛选手还需要提交模型代码（用于非公开测试集评估）、模型说明文件（用于报告模型方案以及模型在公开测试集上的结果）。</w:t>
            </w:r>
          </w:p>
        </w:tc>
      </w:tr>
      <w:tr w:rsidR="00000731" w:rsidRPr="00000731" w14:paraId="4B508E78" w14:textId="77777777" w:rsidTr="00F32DF9">
        <w:trPr>
          <w:trHeight w:hRule="exact" w:val="4546"/>
        </w:trPr>
        <w:tc>
          <w:tcPr>
            <w:tcW w:w="1555" w:type="dxa"/>
            <w:vAlign w:val="center"/>
          </w:tcPr>
          <w:p w14:paraId="3741CB46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</w:tcPr>
          <w:p w14:paraId="7220149E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000731">
              <w:rPr>
                <w:rFonts w:hint="eastAsia"/>
                <w:color w:val="727272"/>
                <w:szCs w:val="21"/>
                <w:shd w:val="clear" w:color="auto" w:fill="FFFFFF"/>
              </w:rPr>
              <w:t>（企业在参赛团队技术支持、软硬件资源配套、优秀项目成果知识产权转化、优秀学生技术认证、实习和就业等方面能够提供的支持）</w:t>
            </w:r>
          </w:p>
          <w:p w14:paraId="53C3E995" w14:textId="77777777" w:rsidR="00000731" w:rsidRPr="00000731" w:rsidRDefault="00000731" w:rsidP="00000731">
            <w:pPr>
              <w:keepNext/>
              <w:widowControl/>
              <w:numPr>
                <w:ilvl w:val="1"/>
                <w:numId w:val="0"/>
              </w:numPr>
              <w:tabs>
                <w:tab w:val="num" w:pos="576"/>
              </w:tabs>
              <w:snapToGrid/>
              <w:spacing w:before="240" w:after="240" w:line="240" w:lineRule="auto"/>
              <w:ind w:left="576" w:hanging="576"/>
              <w:outlineLvl w:val="1"/>
              <w:rPr>
                <w:rFonts w:ascii="Arial" w:eastAsia="黑体" w:hAnsi="Arial"/>
                <w:kern w:val="0"/>
              </w:rPr>
            </w:pPr>
            <w:r w:rsidRPr="00000731">
              <w:rPr>
                <w:rFonts w:ascii="Arial" w:eastAsia="黑体" w:hAnsi="Arial" w:hint="eastAsia"/>
                <w:kern w:val="0"/>
              </w:rPr>
              <w:t>参考数据集</w:t>
            </w:r>
          </w:p>
          <w:p w14:paraId="1DE4E075" w14:textId="77777777" w:rsidR="00000731" w:rsidRPr="00000731" w:rsidRDefault="00000000" w:rsidP="00000731">
            <w:pPr>
              <w:ind w:firstLine="480"/>
            </w:pPr>
            <w:hyperlink r:id="rId6" w:history="1">
              <w:r w:rsidR="00000731" w:rsidRPr="00000731">
                <w:rPr>
                  <w:color w:val="0563C1" w:themeColor="hyperlink"/>
                  <w:u w:val="single"/>
                </w:rPr>
                <w:t>https://www.kaggle.com/datasets/mbornoe/lisa-traffic-light-dataset</w:t>
              </w:r>
            </w:hyperlink>
          </w:p>
          <w:p w14:paraId="7083AE7C" w14:textId="77777777" w:rsidR="00000731" w:rsidRPr="00000731" w:rsidRDefault="00000000" w:rsidP="00000731">
            <w:pPr>
              <w:ind w:firstLine="480"/>
            </w:pPr>
            <w:hyperlink r:id="rId7" w:history="1">
              <w:r w:rsidR="00000731" w:rsidRPr="00000731">
                <w:rPr>
                  <w:color w:val="0563C1" w:themeColor="hyperlink"/>
                  <w:u w:val="single"/>
                </w:rPr>
                <w:t>https://hci.iwr.uni-heidelberg.de/content/bosch-small-traffic-lights-dataset</w:t>
              </w:r>
            </w:hyperlink>
          </w:p>
          <w:p w14:paraId="06C9BDEA" w14:textId="77777777" w:rsidR="00000731" w:rsidRPr="00000731" w:rsidRDefault="00000731" w:rsidP="00000731">
            <w:pPr>
              <w:keepNext/>
              <w:widowControl/>
              <w:numPr>
                <w:ilvl w:val="1"/>
                <w:numId w:val="0"/>
              </w:numPr>
              <w:tabs>
                <w:tab w:val="num" w:pos="576"/>
              </w:tabs>
              <w:snapToGrid/>
              <w:spacing w:before="240" w:after="240" w:line="240" w:lineRule="auto"/>
              <w:ind w:left="576" w:hanging="576"/>
              <w:outlineLvl w:val="1"/>
              <w:rPr>
                <w:rFonts w:ascii="Arial" w:eastAsia="黑体" w:hAnsi="Arial"/>
                <w:kern w:val="0"/>
              </w:rPr>
            </w:pPr>
            <w:r w:rsidRPr="00000731">
              <w:rPr>
                <w:rFonts w:ascii="Arial" w:eastAsia="黑体" w:hAnsi="Arial" w:hint="eastAsia"/>
                <w:kern w:val="0"/>
              </w:rPr>
              <w:t>参考文献</w:t>
            </w:r>
          </w:p>
          <w:p w14:paraId="04877F05" w14:textId="77777777" w:rsidR="00000731" w:rsidRPr="00000731" w:rsidRDefault="00000731" w:rsidP="00000731">
            <w:pPr>
              <w:ind w:firstLine="480"/>
            </w:pPr>
            <w:r w:rsidRPr="00000731">
              <w:rPr>
                <w:rFonts w:hint="eastAsia"/>
              </w:rPr>
              <w:t>《中华人民共和国公共安全行业标准》</w:t>
            </w:r>
            <w:r w:rsidRPr="00000731">
              <w:rPr>
                <w:rFonts w:hint="eastAsia"/>
              </w:rPr>
              <w:t>GA/T 508</w:t>
            </w:r>
            <w:r w:rsidRPr="00000731">
              <w:rPr>
                <w:rFonts w:hint="eastAsia"/>
              </w:rPr>
              <w:t>－</w:t>
            </w:r>
            <w:r w:rsidRPr="00000731">
              <w:rPr>
                <w:rFonts w:hint="eastAsia"/>
              </w:rPr>
              <w:t>2014</w:t>
            </w:r>
          </w:p>
          <w:p w14:paraId="5D20A174" w14:textId="77777777" w:rsidR="00000731" w:rsidRPr="00000731" w:rsidRDefault="00000731" w:rsidP="00000731">
            <w:pPr>
              <w:ind w:firstLine="480"/>
            </w:pPr>
            <w:r w:rsidRPr="00000731">
              <w:rPr>
                <w:rFonts w:hint="eastAsia"/>
              </w:rPr>
              <w:t>《中华人民共和国国家标准》</w:t>
            </w:r>
            <w:r w:rsidRPr="00000731">
              <w:rPr>
                <w:rFonts w:hint="eastAsia"/>
              </w:rPr>
              <w:t>GB14886</w:t>
            </w:r>
            <w:r w:rsidRPr="00000731">
              <w:rPr>
                <w:rFonts w:hint="eastAsia"/>
              </w:rPr>
              <w:t>—</w:t>
            </w:r>
            <w:r w:rsidRPr="00000731">
              <w:rPr>
                <w:rFonts w:hint="eastAsia"/>
              </w:rPr>
              <w:t>2016</w:t>
            </w:r>
          </w:p>
          <w:p w14:paraId="47DED9A6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000731" w:rsidRPr="00000731" w14:paraId="3A297C96" w14:textId="77777777" w:rsidTr="00F32DF9">
        <w:trPr>
          <w:trHeight w:hRule="exact" w:val="1709"/>
        </w:trPr>
        <w:tc>
          <w:tcPr>
            <w:tcW w:w="1555" w:type="dxa"/>
            <w:vAlign w:val="center"/>
          </w:tcPr>
          <w:p w14:paraId="6C767146" w14:textId="77777777" w:rsidR="00000731" w:rsidRPr="00000731" w:rsidRDefault="00000731" w:rsidP="00000731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000731">
              <w:rPr>
                <w:rFonts w:hint="eastAsia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6741" w:type="dxa"/>
          </w:tcPr>
          <w:p w14:paraId="16E488E9" w14:textId="77777777" w:rsidR="00000731" w:rsidRPr="00000731" w:rsidRDefault="00000731" w:rsidP="00000731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000731">
              <w:rPr>
                <w:rFonts w:hint="eastAsia"/>
                <w:color w:val="727272"/>
                <w:szCs w:val="21"/>
                <w:shd w:val="clear" w:color="auto" w:fill="FFFFFF"/>
              </w:rPr>
              <w:t>（如有其他意见建议请填写）</w:t>
            </w:r>
          </w:p>
          <w:p w14:paraId="58651D7F" w14:textId="77777777" w:rsidR="00000731" w:rsidRPr="00000731" w:rsidRDefault="00000731" w:rsidP="00000731">
            <w:pPr>
              <w:spacing w:line="240" w:lineRule="auto"/>
              <w:ind w:firstLineChars="0" w:firstLine="0"/>
            </w:pPr>
          </w:p>
        </w:tc>
      </w:tr>
    </w:tbl>
    <w:p w14:paraId="46815702" w14:textId="77777777" w:rsidR="00E87C4B" w:rsidRPr="00000731" w:rsidRDefault="00E87C4B">
      <w:pPr>
        <w:ind w:firstLine="480"/>
      </w:pPr>
    </w:p>
    <w:sectPr w:rsidR="00E87C4B" w:rsidRPr="00000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A5A39" w14:textId="77777777" w:rsidR="00964156" w:rsidRDefault="00964156" w:rsidP="00000731">
      <w:pPr>
        <w:spacing w:line="240" w:lineRule="auto"/>
        <w:ind w:firstLine="480"/>
      </w:pPr>
      <w:r>
        <w:separator/>
      </w:r>
    </w:p>
  </w:endnote>
  <w:endnote w:type="continuationSeparator" w:id="0">
    <w:p w14:paraId="0A686E3B" w14:textId="77777777" w:rsidR="00964156" w:rsidRDefault="00964156" w:rsidP="0000073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EFF2D" w14:textId="77777777" w:rsidR="00000731" w:rsidRDefault="00000731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0139" w14:textId="77777777" w:rsidR="00000731" w:rsidRDefault="00000731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8AD1" w14:textId="77777777" w:rsidR="00000731" w:rsidRDefault="00000731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183B8" w14:textId="77777777" w:rsidR="00964156" w:rsidRDefault="00964156" w:rsidP="00000731">
      <w:pPr>
        <w:spacing w:line="240" w:lineRule="auto"/>
        <w:ind w:firstLine="480"/>
      </w:pPr>
      <w:r>
        <w:separator/>
      </w:r>
    </w:p>
  </w:footnote>
  <w:footnote w:type="continuationSeparator" w:id="0">
    <w:p w14:paraId="24E83E2F" w14:textId="77777777" w:rsidR="00964156" w:rsidRDefault="00964156" w:rsidP="0000073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7240" w14:textId="77777777" w:rsidR="00000731" w:rsidRDefault="00000731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3560" w14:textId="77777777" w:rsidR="00000731" w:rsidRDefault="00000731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A502F" w14:textId="77777777" w:rsidR="00000731" w:rsidRDefault="0000073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BF"/>
    <w:rsid w:val="00000731"/>
    <w:rsid w:val="000E4A6F"/>
    <w:rsid w:val="00355F32"/>
    <w:rsid w:val="003C6EA5"/>
    <w:rsid w:val="004737EE"/>
    <w:rsid w:val="00663AF4"/>
    <w:rsid w:val="00956022"/>
    <w:rsid w:val="00964156"/>
    <w:rsid w:val="00973467"/>
    <w:rsid w:val="00AD7F76"/>
    <w:rsid w:val="00B6304F"/>
    <w:rsid w:val="00E22446"/>
    <w:rsid w:val="00E84B86"/>
    <w:rsid w:val="00E87C4B"/>
    <w:rsid w:val="00EB65A3"/>
    <w:rsid w:val="00F2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B3034"/>
  <w15:chartTrackingRefBased/>
  <w15:docId w15:val="{FE208552-3D59-4133-9E4D-349A40E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446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paragraph" w:styleId="a4">
    <w:name w:val="header"/>
    <w:basedOn w:val="a"/>
    <w:link w:val="a5"/>
    <w:uiPriority w:val="99"/>
    <w:unhideWhenUsed/>
    <w:rsid w:val="00000731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00731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00731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00731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000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hci.iwr.uni-heidelberg.de/content/bosch-small-traffic-lights-dataset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ggle.com/datasets/mbornoe/lisa-traffic-light-datase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7</cp:revision>
  <dcterms:created xsi:type="dcterms:W3CDTF">2024-05-07T02:31:00Z</dcterms:created>
  <dcterms:modified xsi:type="dcterms:W3CDTF">2024-06-03T08:25:00Z</dcterms:modified>
</cp:coreProperties>
</file>