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0F916" w14:textId="77777777" w:rsidR="0086558A" w:rsidRDefault="0086558A" w:rsidP="00392B98">
      <w:pPr>
        <w:snapToGrid/>
        <w:spacing w:line="276" w:lineRule="auto"/>
        <w:ind w:firstLineChars="0" w:firstLine="0"/>
        <w:jc w:val="center"/>
        <w:rPr>
          <w:rFonts w:ascii="方正小标宋简体" w:eastAsia="方正小标宋简体" w:hAnsi="Calibri" w:cstheme="minorBidi"/>
          <w:sz w:val="36"/>
          <w:szCs w:val="36"/>
        </w:rPr>
      </w:pPr>
      <w:r>
        <w:rPr>
          <w:rFonts w:ascii="方正小标宋简体" w:eastAsia="方正小标宋简体" w:hAnsi="Calibri" w:cstheme="minorBidi" w:hint="eastAsia"/>
          <w:sz w:val="36"/>
          <w:szCs w:val="36"/>
        </w:rPr>
        <w:t>首届</w:t>
      </w:r>
      <w:r w:rsidRPr="00655930">
        <w:rPr>
          <w:rFonts w:ascii="方正小标宋简体" w:eastAsia="方正小标宋简体" w:hAnsi="Calibri" w:cstheme="minorBidi" w:hint="eastAsia"/>
          <w:sz w:val="36"/>
          <w:szCs w:val="36"/>
        </w:rPr>
        <w:t>高校ICT产教融合创新大赛</w:t>
      </w:r>
      <w:r w:rsidRPr="00E77B83">
        <w:rPr>
          <w:rFonts w:ascii="方正小标宋简体" w:eastAsia="方正小标宋简体" w:hAnsi="Calibri" w:cstheme="minorBidi" w:hint="eastAsia"/>
          <w:sz w:val="36"/>
          <w:szCs w:val="36"/>
        </w:rPr>
        <w:t>企业命题</w:t>
      </w:r>
    </w:p>
    <w:p w14:paraId="3D90AA0B" w14:textId="7C3B035D" w:rsidR="0086558A" w:rsidRPr="00D8084F" w:rsidRDefault="0086558A" w:rsidP="0086558A">
      <w:pPr>
        <w:snapToGrid/>
        <w:spacing w:line="276" w:lineRule="auto"/>
        <w:ind w:firstLineChars="0" w:firstLine="0"/>
        <w:jc w:val="left"/>
        <w:rPr>
          <w:rFonts w:ascii="方正小标宋简体" w:eastAsia="方正小标宋简体" w:hAnsi="Calibri" w:cstheme="minorBidi" w:hint="eastAsia"/>
          <w:sz w:val="28"/>
          <w:szCs w:val="28"/>
        </w:rPr>
      </w:pPr>
      <w:r w:rsidRPr="00D8084F">
        <w:rPr>
          <w:rFonts w:ascii="方正小标宋简体" w:eastAsia="方正小标宋简体" w:hAnsi="Calibri" w:cstheme="minorBidi" w:hint="eastAsia"/>
          <w:sz w:val="28"/>
          <w:szCs w:val="28"/>
        </w:rPr>
        <w:t>命题编号：</w:t>
      </w:r>
      <w:r w:rsidR="00CC15E1">
        <w:rPr>
          <w:rFonts w:ascii="方正小标宋简体" w:eastAsia="方正小标宋简体" w:hAnsi="Calibri" w:cstheme="minorBidi" w:hint="eastAsia"/>
          <w:sz w:val="28"/>
          <w:szCs w:val="28"/>
        </w:rPr>
        <w:t>21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1555"/>
        <w:gridCol w:w="6741"/>
      </w:tblGrid>
      <w:tr w:rsidR="004C5D18" w14:paraId="0D5ECB61" w14:textId="77777777">
        <w:trPr>
          <w:trHeight w:hRule="exact" w:val="851"/>
        </w:trPr>
        <w:tc>
          <w:tcPr>
            <w:tcW w:w="937" w:type="pct"/>
            <w:vAlign w:val="center"/>
          </w:tcPr>
          <w:p w14:paraId="3E90EB4F" w14:textId="77777777" w:rsidR="004C5D18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命题企业</w:t>
            </w:r>
          </w:p>
        </w:tc>
        <w:tc>
          <w:tcPr>
            <w:tcW w:w="4063" w:type="pct"/>
            <w:vAlign w:val="center"/>
          </w:tcPr>
          <w:p w14:paraId="58A0014D" w14:textId="77777777" w:rsidR="004C5D18" w:rsidRDefault="00000000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用友网络科技股份有限公司、新道科技股份有限公司</w:t>
            </w:r>
          </w:p>
        </w:tc>
      </w:tr>
      <w:tr w:rsidR="004C5D18" w14:paraId="1C21AC41" w14:textId="77777777">
        <w:trPr>
          <w:trHeight w:hRule="exact" w:val="851"/>
        </w:trPr>
        <w:tc>
          <w:tcPr>
            <w:tcW w:w="937" w:type="pct"/>
            <w:vAlign w:val="center"/>
          </w:tcPr>
          <w:p w14:paraId="08AD0B01" w14:textId="77777777" w:rsidR="004C5D18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命题题目</w:t>
            </w:r>
          </w:p>
        </w:tc>
        <w:tc>
          <w:tcPr>
            <w:tcW w:w="4063" w:type="pct"/>
            <w:vAlign w:val="center"/>
          </w:tcPr>
          <w:p w14:paraId="718BD2C4" w14:textId="77777777" w:rsidR="004C5D18" w:rsidRDefault="00000000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设备故障智能检测</w:t>
            </w:r>
          </w:p>
        </w:tc>
      </w:tr>
      <w:tr w:rsidR="004C5D18" w14:paraId="1B811C3B" w14:textId="77777777">
        <w:trPr>
          <w:trHeight w:val="1695"/>
        </w:trPr>
        <w:tc>
          <w:tcPr>
            <w:tcW w:w="937" w:type="pct"/>
            <w:vMerge w:val="restart"/>
            <w:vAlign w:val="center"/>
          </w:tcPr>
          <w:p w14:paraId="52DA079D" w14:textId="77777777" w:rsidR="004C5D18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命题方向</w:t>
            </w:r>
          </w:p>
        </w:tc>
        <w:tc>
          <w:tcPr>
            <w:tcW w:w="4063" w:type="pct"/>
          </w:tcPr>
          <w:p w14:paraId="1162EF40" w14:textId="77777777" w:rsidR="004C5D18" w:rsidRDefault="00000000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面向产业互联网在工业领域的深度融合和应用，结合工业制造行业企业数智化转型的业务需求，构建典型应用场景，在个性化定制、网络化协同、智能化生产、服务型延伸、数智化管理等方面，开发制造通用服务层的智能检测、故障诊断、智慧监控、销量预测等场景的智能应用，或制造应用服务层的装备后服务、智慧运营、能源管理、安环管理、无人值守等场景的创新应用。</w:t>
            </w:r>
          </w:p>
        </w:tc>
      </w:tr>
      <w:tr w:rsidR="004C5D18" w14:paraId="3543DC2E" w14:textId="77777777">
        <w:trPr>
          <w:trHeight w:hRule="exact" w:val="2119"/>
        </w:trPr>
        <w:tc>
          <w:tcPr>
            <w:tcW w:w="937" w:type="pct"/>
            <w:vMerge/>
            <w:vAlign w:val="center"/>
          </w:tcPr>
          <w:p w14:paraId="4324BCD4" w14:textId="77777777" w:rsidR="004C5D18" w:rsidRDefault="004C5D18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063" w:type="pct"/>
          </w:tcPr>
          <w:p w14:paraId="736CF019" w14:textId="77777777" w:rsidR="004C5D18" w:rsidRDefault="0000000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大数据、工业互联网、人工智能、数据采集、数据分析、数据挖掘、算法模型构建、图像识别、智能运维、数据可视化</w:t>
            </w:r>
          </w:p>
        </w:tc>
      </w:tr>
      <w:tr w:rsidR="004C5D18" w14:paraId="3F3830EC" w14:textId="77777777">
        <w:trPr>
          <w:cantSplit/>
          <w:trHeight w:hRule="exact" w:val="8131"/>
        </w:trPr>
        <w:tc>
          <w:tcPr>
            <w:tcW w:w="937" w:type="pct"/>
            <w:vAlign w:val="center"/>
          </w:tcPr>
          <w:p w14:paraId="1FBE5251" w14:textId="77777777" w:rsidR="004C5D18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命题内容</w:t>
            </w:r>
          </w:p>
        </w:tc>
        <w:tc>
          <w:tcPr>
            <w:tcW w:w="4063" w:type="pct"/>
          </w:tcPr>
          <w:p w14:paraId="6368B8E0" w14:textId="77777777" w:rsidR="004C5D18" w:rsidRDefault="0000000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1.</w:t>
            </w:r>
            <w:r>
              <w:rPr>
                <w:rFonts w:hint="eastAsia"/>
                <w:szCs w:val="21"/>
                <w:shd w:val="clear" w:color="auto" w:fill="FFFFFF"/>
              </w:rPr>
              <w:t>在当今工业</w:t>
            </w:r>
            <w:r>
              <w:rPr>
                <w:rFonts w:hint="eastAsia"/>
                <w:szCs w:val="21"/>
                <w:shd w:val="clear" w:color="auto" w:fill="FFFFFF"/>
              </w:rPr>
              <w:t>4.0</w:t>
            </w:r>
            <w:r>
              <w:rPr>
                <w:rFonts w:hint="eastAsia"/>
                <w:szCs w:val="21"/>
                <w:shd w:val="clear" w:color="auto" w:fill="FFFFFF"/>
              </w:rPr>
              <w:t>推动制造业转型升级的浪潮中，工业设备的智慧化远程运维成为提升竞争力的关键。面对设备故障响应慢、维修周期长等运维挑战，企业亟需革新传统管理模式。通过深度融合大数据采集、高级图像识别技术、以及</w:t>
            </w:r>
            <w:r>
              <w:rPr>
                <w:rFonts w:hint="eastAsia"/>
                <w:szCs w:val="21"/>
                <w:shd w:val="clear" w:color="auto" w:fill="FFFFFF"/>
              </w:rPr>
              <w:t>5G</w:t>
            </w:r>
            <w:r>
              <w:rPr>
                <w:rFonts w:hint="eastAsia"/>
                <w:szCs w:val="21"/>
                <w:shd w:val="clear" w:color="auto" w:fill="FFFFFF"/>
              </w:rPr>
              <w:t>高速通讯能力，打造出一套集成故障即时诊断、配件智能调度、安装与维护流程优化、以及快速报修响应的综合管理体系。此举旨在利用数字化与智能化技术，重塑设备运维流程，不仅大幅度提升运维作业的效率与精确度，还显著增强了客户体验与服务满意度，推动工业设备运维向更加智能化、高效化的方向迈进。</w:t>
            </w:r>
          </w:p>
          <w:p w14:paraId="43896635" w14:textId="77777777" w:rsidR="004C5D18" w:rsidRDefault="004C5D18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</w:p>
          <w:p w14:paraId="0922CA43" w14:textId="77777777" w:rsidR="004C5D18" w:rsidRDefault="0000000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2.</w:t>
            </w:r>
            <w:r>
              <w:rPr>
                <w:rFonts w:hint="eastAsia"/>
                <w:szCs w:val="21"/>
                <w:shd w:val="clear" w:color="auto" w:fill="FFFFFF"/>
              </w:rPr>
              <w:t>研究内容：选手借助平台提供的工业数据，自行建立算法模型，旨在深入分析和识别设备的异常情况，目标是精确识别设备的各类异常状况，预测其演变趋势，并评估当前检测及维护策略的有效性，实现对设备升级、预防维护的技术方案。例如基于绝缘子异常检测数据，针对故障状态特征，如裂纹、破损和污秽特征进行深度挖掘，将致其故障原因进行分类，通过深度学习算法，识别出导致绝缘子退化的关键因素及其之间的关联性，及时发现设备发生的故障并进行告警。</w:t>
            </w:r>
          </w:p>
          <w:p w14:paraId="16B61900" w14:textId="77777777" w:rsidR="004C5D18" w:rsidRDefault="004C5D18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</w:p>
          <w:p w14:paraId="62E9D25D" w14:textId="77777777" w:rsidR="004C5D18" w:rsidRDefault="00000000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3.</w:t>
            </w:r>
            <w:r>
              <w:rPr>
                <w:rFonts w:hint="eastAsia"/>
                <w:szCs w:val="21"/>
                <w:shd w:val="clear" w:color="auto" w:fill="FFFFFF"/>
              </w:rPr>
              <w:t>输出成果：工业设备预警模型：使其能够自动识别图像中的绝缘子并判断其是否存在异常情况。通过实时监测绝缘子的状态，可以及时发现异常情况并进行处理，从而确保设备的安全稳定运行。</w:t>
            </w:r>
          </w:p>
        </w:tc>
      </w:tr>
      <w:tr w:rsidR="004C5D18" w14:paraId="30AAA59A" w14:textId="77777777">
        <w:trPr>
          <w:trHeight w:hRule="exact" w:val="3696"/>
        </w:trPr>
        <w:tc>
          <w:tcPr>
            <w:tcW w:w="937" w:type="pct"/>
            <w:vAlign w:val="center"/>
          </w:tcPr>
          <w:p w14:paraId="69B9A03A" w14:textId="77777777" w:rsidR="004C5D18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答题所需软硬件资源</w:t>
            </w:r>
          </w:p>
        </w:tc>
        <w:tc>
          <w:tcPr>
            <w:tcW w:w="4063" w:type="pct"/>
          </w:tcPr>
          <w:p w14:paraId="1144D0C0" w14:textId="77777777" w:rsidR="004C5D18" w:rsidRDefault="00000000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提供技术实践比赛平台“青椒课堂”，包括竞赛任务设计、检测、发布、演练、监控、展示等模块，竞赛系统提供开放式实践环境，参赛队伍可通过此系统提供的底层云计算资源，进行开放式环境设计、代码编写、数据上传、应用构建、创新开发等。</w:t>
            </w:r>
          </w:p>
          <w:p w14:paraId="18091D02" w14:textId="77777777" w:rsidR="004C5D18" w:rsidRDefault="004C5D18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</w:tc>
      </w:tr>
      <w:tr w:rsidR="004C5D18" w14:paraId="5DC9A232" w14:textId="77777777">
        <w:trPr>
          <w:trHeight w:hRule="exact" w:val="7748"/>
        </w:trPr>
        <w:tc>
          <w:tcPr>
            <w:tcW w:w="937" w:type="pct"/>
            <w:vAlign w:val="center"/>
          </w:tcPr>
          <w:p w14:paraId="1D9FD08D" w14:textId="77777777" w:rsidR="004C5D18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提交材料和评价方法</w:t>
            </w:r>
          </w:p>
        </w:tc>
        <w:tc>
          <w:tcPr>
            <w:tcW w:w="4063" w:type="pct"/>
          </w:tcPr>
          <w:p w14:paraId="17106F44" w14:textId="77777777" w:rsidR="004C5D18" w:rsidRDefault="0000000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1.</w:t>
            </w:r>
            <w:r>
              <w:rPr>
                <w:rFonts w:hint="eastAsia"/>
                <w:szCs w:val="21"/>
                <w:shd w:val="clear" w:color="auto" w:fill="FFFFFF"/>
              </w:rPr>
              <w:t>参赛资料：选手需利用竞赛平台所提供的统一资源环境，实现对多源异构数据的采集工作，进而进行数据治理、数据深入分析、数据挖掘，构建算法模型，并最终以可视化方式清晰展示成果，形成一个完整、连贯的数据处理与分析流程；</w:t>
            </w:r>
          </w:p>
          <w:p w14:paraId="6C894676" w14:textId="77777777" w:rsidR="004C5D18" w:rsidRDefault="004C5D18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</w:p>
          <w:p w14:paraId="69611700" w14:textId="77777777" w:rsidR="004C5D18" w:rsidRDefault="0000000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2.</w:t>
            </w:r>
            <w:r>
              <w:rPr>
                <w:rFonts w:hint="eastAsia"/>
                <w:szCs w:val="21"/>
                <w:shd w:val="clear" w:color="auto" w:fill="FFFFFF"/>
              </w:rPr>
              <w:t>评价方法：参赛队成绩评定采用机考评分，根据最后生成的模型，对测试数据进行验证，最终结果以评估指标</w:t>
            </w:r>
            <w:r>
              <w:rPr>
                <w:szCs w:val="21"/>
                <w:shd w:val="clear" w:color="auto" w:fill="FFFFFF"/>
              </w:rPr>
              <w:t>(</w:t>
            </w:r>
            <w:r>
              <w:rPr>
                <w:szCs w:val="21"/>
                <w:shd w:val="clear" w:color="auto" w:fill="FFFFFF"/>
              </w:rPr>
              <w:t>准确率、精确率、召回率、</w:t>
            </w:r>
            <w:r>
              <w:rPr>
                <w:szCs w:val="21"/>
                <w:shd w:val="clear" w:color="auto" w:fill="FFFFFF"/>
              </w:rPr>
              <w:t>F1</w:t>
            </w:r>
            <w:r>
              <w:rPr>
                <w:szCs w:val="21"/>
                <w:shd w:val="clear" w:color="auto" w:fill="FFFFFF"/>
              </w:rPr>
              <w:t>分数、</w:t>
            </w:r>
            <w:r>
              <w:rPr>
                <w:szCs w:val="21"/>
                <w:shd w:val="clear" w:color="auto" w:fill="FFFFFF"/>
              </w:rPr>
              <w:t>AUC-ROC</w:t>
            </w:r>
            <w:r>
              <w:rPr>
                <w:szCs w:val="21"/>
                <w:shd w:val="clear" w:color="auto" w:fill="FFFFFF"/>
              </w:rPr>
              <w:t>曲线等</w:t>
            </w:r>
            <w:r>
              <w:rPr>
                <w:szCs w:val="21"/>
                <w:shd w:val="clear" w:color="auto" w:fill="FFFFFF"/>
              </w:rPr>
              <w:t>)</w:t>
            </w:r>
            <w:r>
              <w:rPr>
                <w:rFonts w:hint="eastAsia"/>
                <w:szCs w:val="21"/>
                <w:shd w:val="clear" w:color="auto" w:fill="FFFFFF"/>
              </w:rPr>
              <w:t>进行考核；</w:t>
            </w:r>
          </w:p>
          <w:p w14:paraId="4CBC37D6" w14:textId="77777777" w:rsidR="004C5D18" w:rsidRDefault="004C5D18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</w:p>
          <w:p w14:paraId="6BB6E89A" w14:textId="77777777" w:rsidR="004C5D18" w:rsidRDefault="00000000">
            <w:pPr>
              <w:numPr>
                <w:ilvl w:val="0"/>
                <w:numId w:val="2"/>
              </w:num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机评方式：竞赛平台采用内置封装脚本进行环境资源量化指标自动比对和验证，包含客观数据检测及过程检测。通过竞赛资源统一配置、参赛选手数据隔离、监控选手答题过程、自动检验结果指标、实时播报成绩排行等方式，确保竞赛过程的客观性、公正性和安全性；</w:t>
            </w:r>
          </w:p>
          <w:p w14:paraId="6306504F" w14:textId="77777777" w:rsidR="004C5D18" w:rsidRDefault="004C5D18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</w:p>
          <w:p w14:paraId="0443C3FD" w14:textId="77777777" w:rsidR="004C5D18" w:rsidRDefault="0000000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4.</w:t>
            </w:r>
            <w:r>
              <w:rPr>
                <w:rFonts w:hint="eastAsia"/>
                <w:szCs w:val="21"/>
                <w:shd w:val="clear" w:color="auto" w:fill="FFFFFF"/>
              </w:rPr>
              <w:t>项目报告：在竞赛</w:t>
            </w:r>
            <w:r>
              <w:rPr>
                <w:szCs w:val="21"/>
                <w:shd w:val="clear" w:color="auto" w:fill="FFFFFF"/>
              </w:rPr>
              <w:t>平台上</w:t>
            </w:r>
            <w:r>
              <w:rPr>
                <w:rFonts w:hint="eastAsia"/>
                <w:szCs w:val="21"/>
                <w:shd w:val="clear" w:color="auto" w:fill="FFFFFF"/>
              </w:rPr>
              <w:t>可</w:t>
            </w:r>
            <w:r>
              <w:rPr>
                <w:szCs w:val="21"/>
                <w:shd w:val="clear" w:color="auto" w:fill="FFFFFF"/>
              </w:rPr>
              <w:t>直接提交项目说明文档，</w:t>
            </w:r>
            <w:r>
              <w:rPr>
                <w:rFonts w:hint="eastAsia"/>
                <w:szCs w:val="21"/>
                <w:shd w:val="clear" w:color="auto" w:fill="FFFFFF"/>
              </w:rPr>
              <w:t>用于</w:t>
            </w:r>
            <w:r>
              <w:rPr>
                <w:szCs w:val="21"/>
                <w:shd w:val="clear" w:color="auto" w:fill="FFFFFF"/>
              </w:rPr>
              <w:t>阐述项目作品的意义、功能及设计思路，包含但不限于：</w:t>
            </w:r>
            <w:r>
              <w:rPr>
                <w:szCs w:val="21"/>
                <w:shd w:val="clear" w:color="auto" w:fill="FFFFFF"/>
              </w:rPr>
              <w:t>1</w:t>
            </w:r>
            <w:r>
              <w:rPr>
                <w:szCs w:val="21"/>
                <w:shd w:val="clear" w:color="auto" w:fill="FFFFFF"/>
              </w:rPr>
              <w:t>）选题背景与意义；</w:t>
            </w:r>
            <w:r>
              <w:rPr>
                <w:szCs w:val="21"/>
                <w:shd w:val="clear" w:color="auto" w:fill="FFFFFF"/>
              </w:rPr>
              <w:t>2</w:t>
            </w:r>
            <w:r>
              <w:rPr>
                <w:szCs w:val="21"/>
                <w:shd w:val="clear" w:color="auto" w:fill="FFFFFF"/>
              </w:rPr>
              <w:t>）设计思路；</w:t>
            </w:r>
            <w:r>
              <w:rPr>
                <w:szCs w:val="21"/>
                <w:shd w:val="clear" w:color="auto" w:fill="FFFFFF"/>
              </w:rPr>
              <w:t>3</w:t>
            </w:r>
            <w:r>
              <w:rPr>
                <w:szCs w:val="21"/>
                <w:shd w:val="clear" w:color="auto" w:fill="FFFFFF"/>
              </w:rPr>
              <w:t>）主要功能及模块；</w:t>
            </w:r>
            <w:r>
              <w:rPr>
                <w:szCs w:val="21"/>
                <w:shd w:val="clear" w:color="auto" w:fill="FFFFFF"/>
              </w:rPr>
              <w:t>4</w:t>
            </w:r>
            <w:r>
              <w:rPr>
                <w:szCs w:val="21"/>
                <w:shd w:val="clear" w:color="auto" w:fill="FFFFFF"/>
              </w:rPr>
              <w:t>）技术路线简述。评审维度应从创新性、实践性、团队能力、沟通表达、商业价值（附加）、科创价值（附加）等方面进行审核。</w:t>
            </w:r>
          </w:p>
          <w:p w14:paraId="36C279DB" w14:textId="77777777" w:rsidR="004C5D18" w:rsidRDefault="004C5D18">
            <w:pPr>
              <w:spacing w:line="240" w:lineRule="auto"/>
              <w:ind w:firstLineChars="0" w:firstLine="0"/>
            </w:pPr>
          </w:p>
        </w:tc>
      </w:tr>
      <w:tr w:rsidR="004C5D18" w14:paraId="0C4BA5D1" w14:textId="77777777">
        <w:trPr>
          <w:trHeight w:hRule="exact" w:val="12180"/>
        </w:trPr>
        <w:tc>
          <w:tcPr>
            <w:tcW w:w="937" w:type="pct"/>
            <w:vAlign w:val="center"/>
          </w:tcPr>
          <w:p w14:paraId="1B6037A0" w14:textId="77777777" w:rsidR="004C5D18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配套支持</w:t>
            </w:r>
          </w:p>
        </w:tc>
        <w:tc>
          <w:tcPr>
            <w:tcW w:w="4063" w:type="pct"/>
          </w:tcPr>
          <w:p w14:paraId="5542B856" w14:textId="77777777" w:rsidR="004C5D18" w:rsidRDefault="00000000">
            <w:pPr>
              <w:spacing w:line="240" w:lineRule="auto"/>
              <w:ind w:firstLineChars="0" w:firstLine="0"/>
              <w:rPr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1.</w:t>
            </w:r>
            <w:r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在线课程学习：竞赛平台“青椒课堂”提供指定的“电信运营市场分析决策”线上课程，课程集成了多元化的学习内容，旨在帮助学生能够全面掌握电信行业知识以及大数据分析与挖掘、机器学习、深度学习等前沿技术。包括数据标注、数据预处理、数据分析与可视化、大数据分析与挖掘、机器学习、深度学习、通信行业用户行为分析案例等，内容涵盖文本代码、视频、集成实训环境等不同形式资料。（注：具体登录与平台操作指南另行通知）</w:t>
            </w:r>
          </w:p>
          <w:p w14:paraId="7BA69275" w14:textId="77777777" w:rsidR="004C5D18" w:rsidRDefault="004C5D18">
            <w:pPr>
              <w:spacing w:line="240" w:lineRule="auto"/>
              <w:ind w:firstLineChars="0" w:firstLine="0"/>
              <w:rPr>
                <w:color w:val="000000" w:themeColor="text1"/>
                <w:szCs w:val="21"/>
                <w:shd w:val="clear" w:color="auto" w:fill="FFFFFF"/>
              </w:rPr>
            </w:pPr>
          </w:p>
          <w:p w14:paraId="404D7CD4" w14:textId="77777777" w:rsidR="004C5D18" w:rsidRDefault="00000000">
            <w:pPr>
              <w:spacing w:line="240" w:lineRule="auto"/>
              <w:ind w:firstLineChars="0" w:firstLine="0"/>
              <w:rPr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2.</w:t>
            </w:r>
            <w:r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模型开发平台：基于“青椒课堂”竞赛平台，提供企业多源异构的数据采集汇聚、数据治理、数仓建模、离线</w:t>
            </w:r>
            <w:r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/</w:t>
            </w:r>
            <w:r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实时数据开发、算法模型训练、数据可视化等功能，提供对应竞赛练习相应云端资源配置。</w:t>
            </w:r>
          </w:p>
          <w:p w14:paraId="77BAA143" w14:textId="77777777" w:rsidR="004C5D18" w:rsidRDefault="004C5D18">
            <w:pPr>
              <w:spacing w:line="240" w:lineRule="auto"/>
              <w:ind w:firstLineChars="0" w:firstLine="0"/>
              <w:rPr>
                <w:color w:val="000000" w:themeColor="text1"/>
                <w:szCs w:val="21"/>
                <w:shd w:val="clear" w:color="auto" w:fill="FFFFFF"/>
              </w:rPr>
            </w:pPr>
          </w:p>
          <w:p w14:paraId="4DC975C9" w14:textId="77777777" w:rsidR="004C5D18" w:rsidRDefault="00000000">
            <w:pPr>
              <w:spacing w:line="240" w:lineRule="auto"/>
              <w:ind w:firstLineChars="0" w:firstLine="0"/>
              <w:rPr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3.</w:t>
            </w:r>
            <w:r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成果转化：依照《“四邮四电”高校</w:t>
            </w:r>
            <w:r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ICT</w:t>
            </w:r>
            <w:r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产教融合创新大赛资源转化工作办法》的有关要求，通过多手段、全方位对赛项资源优秀成果进行转换，赛后向大赛执委会办公室提交大赛成果资源转化方案如下表，半年内完成资源转化工作。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084"/>
              <w:gridCol w:w="1085"/>
              <w:gridCol w:w="1086"/>
              <w:gridCol w:w="1087"/>
              <w:gridCol w:w="1086"/>
              <w:gridCol w:w="1087"/>
            </w:tblGrid>
            <w:tr w:rsidR="004C5D18" w14:paraId="70BEEA8B" w14:textId="77777777">
              <w:tc>
                <w:tcPr>
                  <w:tcW w:w="1084" w:type="dxa"/>
                </w:tcPr>
                <w:p w14:paraId="44B86FF8" w14:textId="77777777" w:rsidR="004C5D18" w:rsidRDefault="00000000">
                  <w:pPr>
                    <w:spacing w:line="240" w:lineRule="auto"/>
                    <w:ind w:firstLineChars="0" w:firstLine="0"/>
                    <w:rPr>
                      <w:color w:val="000000" w:themeColor="text1"/>
                      <w:sz w:val="18"/>
                      <w:szCs w:val="15"/>
                      <w:shd w:val="clear" w:color="auto" w:fill="FFFFFF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5"/>
                      <w:shd w:val="clear" w:color="auto" w:fill="FFFFFF"/>
                    </w:rPr>
                    <w:t>一级资源</w:t>
                  </w:r>
                </w:p>
              </w:tc>
              <w:tc>
                <w:tcPr>
                  <w:tcW w:w="1085" w:type="dxa"/>
                </w:tcPr>
                <w:p w14:paraId="72AC4FA9" w14:textId="77777777" w:rsidR="004C5D18" w:rsidRDefault="00000000">
                  <w:pPr>
                    <w:spacing w:line="240" w:lineRule="auto"/>
                    <w:ind w:firstLineChars="0" w:firstLine="0"/>
                    <w:rPr>
                      <w:color w:val="000000" w:themeColor="text1"/>
                      <w:sz w:val="18"/>
                      <w:szCs w:val="15"/>
                      <w:shd w:val="clear" w:color="auto" w:fill="FFFFFF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5"/>
                      <w:shd w:val="clear" w:color="auto" w:fill="FFFFFF"/>
                    </w:rPr>
                    <w:t>二级资源</w:t>
                  </w:r>
                </w:p>
              </w:tc>
              <w:tc>
                <w:tcPr>
                  <w:tcW w:w="1086" w:type="dxa"/>
                </w:tcPr>
                <w:p w14:paraId="57790D0A" w14:textId="77777777" w:rsidR="004C5D18" w:rsidRDefault="00000000">
                  <w:pPr>
                    <w:spacing w:line="240" w:lineRule="auto"/>
                    <w:ind w:firstLineChars="0" w:firstLine="0"/>
                    <w:rPr>
                      <w:color w:val="000000" w:themeColor="text1"/>
                      <w:sz w:val="18"/>
                      <w:szCs w:val="15"/>
                      <w:shd w:val="clear" w:color="auto" w:fill="FFFFFF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5"/>
                      <w:shd w:val="clear" w:color="auto" w:fill="FFFFFF"/>
                    </w:rPr>
                    <w:t>内容简述</w:t>
                  </w:r>
                </w:p>
              </w:tc>
              <w:tc>
                <w:tcPr>
                  <w:tcW w:w="1087" w:type="dxa"/>
                </w:tcPr>
                <w:p w14:paraId="59F62235" w14:textId="77777777" w:rsidR="004C5D18" w:rsidRDefault="00000000">
                  <w:pPr>
                    <w:spacing w:line="240" w:lineRule="auto"/>
                    <w:ind w:firstLineChars="0" w:firstLine="0"/>
                    <w:rPr>
                      <w:color w:val="000000" w:themeColor="text1"/>
                      <w:sz w:val="18"/>
                      <w:szCs w:val="15"/>
                      <w:shd w:val="clear" w:color="auto" w:fill="FFFFFF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5"/>
                      <w:shd w:val="clear" w:color="auto" w:fill="FFFFFF"/>
                    </w:rPr>
                    <w:t>转化方式</w:t>
                  </w:r>
                </w:p>
              </w:tc>
              <w:tc>
                <w:tcPr>
                  <w:tcW w:w="1086" w:type="dxa"/>
                </w:tcPr>
                <w:p w14:paraId="528B2278" w14:textId="77777777" w:rsidR="004C5D18" w:rsidRDefault="00000000">
                  <w:pPr>
                    <w:spacing w:line="240" w:lineRule="auto"/>
                    <w:ind w:firstLineChars="0" w:firstLine="0"/>
                    <w:rPr>
                      <w:color w:val="000000" w:themeColor="text1"/>
                      <w:sz w:val="18"/>
                      <w:szCs w:val="15"/>
                      <w:shd w:val="clear" w:color="auto" w:fill="FFFFFF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5"/>
                      <w:shd w:val="clear" w:color="auto" w:fill="FFFFFF"/>
                    </w:rPr>
                    <w:t>进度安排</w:t>
                  </w:r>
                </w:p>
              </w:tc>
              <w:tc>
                <w:tcPr>
                  <w:tcW w:w="1087" w:type="dxa"/>
                </w:tcPr>
                <w:p w14:paraId="3EB63FEB" w14:textId="77777777" w:rsidR="004C5D18" w:rsidRDefault="00000000">
                  <w:pPr>
                    <w:spacing w:line="240" w:lineRule="auto"/>
                    <w:ind w:firstLineChars="0" w:firstLine="0"/>
                    <w:rPr>
                      <w:color w:val="000000" w:themeColor="text1"/>
                      <w:sz w:val="18"/>
                      <w:szCs w:val="15"/>
                      <w:shd w:val="clear" w:color="auto" w:fill="FFFFFF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5"/>
                      <w:shd w:val="clear" w:color="auto" w:fill="FFFFFF"/>
                    </w:rPr>
                    <w:t>备注</w:t>
                  </w:r>
                </w:p>
              </w:tc>
            </w:tr>
            <w:tr w:rsidR="004C5D18" w14:paraId="31B253B5" w14:textId="77777777">
              <w:tc>
                <w:tcPr>
                  <w:tcW w:w="1084" w:type="dxa"/>
                </w:tcPr>
                <w:p w14:paraId="6738BDF8" w14:textId="77777777" w:rsidR="004C5D18" w:rsidRDefault="00000000">
                  <w:pPr>
                    <w:spacing w:line="240" w:lineRule="auto"/>
                    <w:ind w:firstLineChars="0" w:firstLine="0"/>
                    <w:rPr>
                      <w:color w:val="000000" w:themeColor="text1"/>
                      <w:sz w:val="18"/>
                      <w:szCs w:val="15"/>
                      <w:shd w:val="clear" w:color="auto" w:fill="FFFFFF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5"/>
                      <w:shd w:val="clear" w:color="auto" w:fill="FFFFFF"/>
                    </w:rPr>
                    <w:t>教学资源</w:t>
                  </w:r>
                </w:p>
              </w:tc>
              <w:tc>
                <w:tcPr>
                  <w:tcW w:w="1085" w:type="dxa"/>
                </w:tcPr>
                <w:p w14:paraId="06DCCD75" w14:textId="77777777" w:rsidR="004C5D18" w:rsidRDefault="00000000">
                  <w:pPr>
                    <w:spacing w:line="240" w:lineRule="auto"/>
                    <w:ind w:firstLineChars="0" w:firstLine="0"/>
                    <w:rPr>
                      <w:color w:val="000000" w:themeColor="text1"/>
                      <w:sz w:val="18"/>
                      <w:szCs w:val="15"/>
                      <w:shd w:val="clear" w:color="auto" w:fill="FFFFFF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5"/>
                      <w:shd w:val="clear" w:color="auto" w:fill="FFFFFF"/>
                    </w:rPr>
                    <w:t>行业项目案例</w:t>
                  </w:r>
                </w:p>
              </w:tc>
              <w:tc>
                <w:tcPr>
                  <w:tcW w:w="1086" w:type="dxa"/>
                </w:tcPr>
                <w:p w14:paraId="5FC2A65E" w14:textId="77777777" w:rsidR="004C5D18" w:rsidRDefault="00000000">
                  <w:pPr>
                    <w:spacing w:line="240" w:lineRule="auto"/>
                    <w:ind w:firstLineChars="0" w:firstLine="0"/>
                    <w:rPr>
                      <w:color w:val="000000" w:themeColor="text1"/>
                      <w:sz w:val="18"/>
                      <w:szCs w:val="15"/>
                      <w:shd w:val="clear" w:color="auto" w:fill="FFFFFF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5"/>
                      <w:shd w:val="clear" w:color="auto" w:fill="FFFFFF"/>
                    </w:rPr>
                    <w:t>对优秀项目进行解析，分析重点、难点，可供高校计算机专业师生进行实训</w:t>
                  </w:r>
                </w:p>
              </w:tc>
              <w:tc>
                <w:tcPr>
                  <w:tcW w:w="1087" w:type="dxa"/>
                </w:tcPr>
                <w:p w14:paraId="49754C13" w14:textId="77777777" w:rsidR="004C5D18" w:rsidRDefault="00000000">
                  <w:pPr>
                    <w:spacing w:line="240" w:lineRule="auto"/>
                    <w:ind w:firstLineChars="0" w:firstLine="0"/>
                    <w:rPr>
                      <w:color w:val="000000" w:themeColor="text1"/>
                      <w:sz w:val="18"/>
                      <w:szCs w:val="15"/>
                      <w:shd w:val="clear" w:color="auto" w:fill="FFFFFF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5"/>
                      <w:shd w:val="clear" w:color="auto" w:fill="FFFFFF"/>
                    </w:rPr>
                    <w:t>教材、</w:t>
                  </w:r>
                </w:p>
                <w:p w14:paraId="33F44C45" w14:textId="77777777" w:rsidR="004C5D18" w:rsidRDefault="00000000">
                  <w:pPr>
                    <w:spacing w:line="240" w:lineRule="auto"/>
                    <w:ind w:firstLineChars="0" w:firstLine="0"/>
                    <w:rPr>
                      <w:color w:val="000000" w:themeColor="text1"/>
                      <w:sz w:val="18"/>
                      <w:szCs w:val="15"/>
                      <w:shd w:val="clear" w:color="auto" w:fill="FFFFFF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5"/>
                      <w:shd w:val="clear" w:color="auto" w:fill="FFFFFF"/>
                    </w:rPr>
                    <w:t>文档、</w:t>
                  </w:r>
                </w:p>
                <w:p w14:paraId="3E1EC4F7" w14:textId="77777777" w:rsidR="004C5D18" w:rsidRDefault="00000000">
                  <w:pPr>
                    <w:spacing w:line="240" w:lineRule="auto"/>
                    <w:ind w:firstLineChars="0" w:firstLine="0"/>
                    <w:rPr>
                      <w:color w:val="000000" w:themeColor="text1"/>
                      <w:sz w:val="18"/>
                      <w:szCs w:val="15"/>
                      <w:shd w:val="clear" w:color="auto" w:fill="FFFFFF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5"/>
                      <w:shd w:val="clear" w:color="auto" w:fill="FFFFFF"/>
                    </w:rPr>
                    <w:t>图片、</w:t>
                  </w:r>
                </w:p>
                <w:p w14:paraId="3D76FFAA" w14:textId="77777777" w:rsidR="004C5D18" w:rsidRDefault="00000000">
                  <w:pPr>
                    <w:spacing w:line="240" w:lineRule="auto"/>
                    <w:ind w:firstLineChars="0" w:firstLine="0"/>
                    <w:rPr>
                      <w:color w:val="000000" w:themeColor="text1"/>
                      <w:sz w:val="18"/>
                      <w:szCs w:val="15"/>
                      <w:shd w:val="clear" w:color="auto" w:fill="FFFFFF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5"/>
                      <w:shd w:val="clear" w:color="auto" w:fill="FFFFFF"/>
                    </w:rPr>
                    <w:t>视频、</w:t>
                  </w:r>
                </w:p>
                <w:p w14:paraId="193ADE9F" w14:textId="77777777" w:rsidR="004C5D18" w:rsidRDefault="00000000">
                  <w:pPr>
                    <w:spacing w:line="240" w:lineRule="auto"/>
                    <w:ind w:firstLineChars="0" w:firstLine="0"/>
                    <w:rPr>
                      <w:color w:val="000000" w:themeColor="text1"/>
                      <w:sz w:val="18"/>
                      <w:szCs w:val="15"/>
                      <w:shd w:val="clear" w:color="auto" w:fill="FFFFFF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5"/>
                      <w:shd w:val="clear" w:color="auto" w:fill="FFFFFF"/>
                    </w:rPr>
                    <w:t>仿真课件等</w:t>
                  </w:r>
                </w:p>
              </w:tc>
              <w:tc>
                <w:tcPr>
                  <w:tcW w:w="1086" w:type="dxa"/>
                </w:tcPr>
                <w:p w14:paraId="027B46A4" w14:textId="77777777" w:rsidR="004C5D18" w:rsidRDefault="00000000">
                  <w:pPr>
                    <w:spacing w:line="240" w:lineRule="auto"/>
                    <w:ind w:firstLineChars="0" w:firstLine="0"/>
                    <w:rPr>
                      <w:color w:val="000000" w:themeColor="text1"/>
                      <w:sz w:val="18"/>
                      <w:szCs w:val="15"/>
                      <w:shd w:val="clear" w:color="auto" w:fill="FFFFFF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5"/>
                      <w:shd w:val="clear" w:color="auto" w:fill="FFFFFF"/>
                    </w:rPr>
                    <w:t>赛后</w:t>
                  </w:r>
                  <w:r>
                    <w:rPr>
                      <w:rFonts w:hint="eastAsia"/>
                      <w:color w:val="000000" w:themeColor="text1"/>
                      <w:sz w:val="18"/>
                      <w:szCs w:val="15"/>
                      <w:shd w:val="clear" w:color="auto" w:fill="FFFFFF"/>
                    </w:rPr>
                    <w:t>1</w:t>
                  </w:r>
                  <w:r>
                    <w:rPr>
                      <w:rFonts w:hint="eastAsia"/>
                      <w:color w:val="000000" w:themeColor="text1"/>
                      <w:sz w:val="18"/>
                      <w:szCs w:val="15"/>
                      <w:shd w:val="clear" w:color="auto" w:fill="FFFFFF"/>
                    </w:rPr>
                    <w:t>个月</w:t>
                  </w:r>
                </w:p>
              </w:tc>
              <w:tc>
                <w:tcPr>
                  <w:tcW w:w="1087" w:type="dxa"/>
                </w:tcPr>
                <w:p w14:paraId="4E51C2FD" w14:textId="77777777" w:rsidR="004C5D18" w:rsidRDefault="00000000">
                  <w:pPr>
                    <w:spacing w:line="240" w:lineRule="auto"/>
                    <w:ind w:firstLineChars="0" w:firstLine="0"/>
                    <w:rPr>
                      <w:color w:val="000000" w:themeColor="text1"/>
                      <w:sz w:val="18"/>
                      <w:szCs w:val="15"/>
                      <w:shd w:val="clear" w:color="auto" w:fill="FFFFFF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5"/>
                      <w:shd w:val="clear" w:color="auto" w:fill="FFFFFF"/>
                    </w:rPr>
                    <w:t>包括教学方案、训练指导、作业</w:t>
                  </w:r>
                  <w:r>
                    <w:rPr>
                      <w:rFonts w:hint="eastAsia"/>
                      <w:color w:val="000000" w:themeColor="text1"/>
                      <w:sz w:val="18"/>
                      <w:szCs w:val="15"/>
                      <w:shd w:val="clear" w:color="auto" w:fill="FFFFFF"/>
                    </w:rPr>
                    <w:t>/</w:t>
                  </w:r>
                  <w:r>
                    <w:rPr>
                      <w:rFonts w:hint="eastAsia"/>
                      <w:color w:val="000000" w:themeColor="text1"/>
                      <w:sz w:val="18"/>
                      <w:szCs w:val="15"/>
                      <w:shd w:val="clear" w:color="auto" w:fill="FFFFFF"/>
                    </w:rPr>
                    <w:t>任务、实验</w:t>
                  </w:r>
                  <w:r>
                    <w:rPr>
                      <w:rFonts w:hint="eastAsia"/>
                      <w:color w:val="000000" w:themeColor="text1"/>
                      <w:sz w:val="18"/>
                      <w:szCs w:val="15"/>
                      <w:shd w:val="clear" w:color="auto" w:fill="FFFFFF"/>
                    </w:rPr>
                    <w:t>/</w:t>
                  </w:r>
                  <w:r>
                    <w:rPr>
                      <w:rFonts w:hint="eastAsia"/>
                      <w:color w:val="000000" w:themeColor="text1"/>
                      <w:sz w:val="18"/>
                      <w:szCs w:val="15"/>
                      <w:shd w:val="clear" w:color="auto" w:fill="FFFFFF"/>
                    </w:rPr>
                    <w:t>实训</w:t>
                  </w:r>
                  <w:r>
                    <w:rPr>
                      <w:rFonts w:hint="eastAsia"/>
                      <w:color w:val="000000" w:themeColor="text1"/>
                      <w:sz w:val="18"/>
                      <w:szCs w:val="15"/>
                      <w:shd w:val="clear" w:color="auto" w:fill="FFFFFF"/>
                    </w:rPr>
                    <w:t>/</w:t>
                  </w:r>
                  <w:r>
                    <w:rPr>
                      <w:rFonts w:hint="eastAsia"/>
                      <w:color w:val="000000" w:themeColor="text1"/>
                      <w:sz w:val="18"/>
                      <w:szCs w:val="15"/>
                      <w:shd w:val="clear" w:color="auto" w:fill="FFFFFF"/>
                    </w:rPr>
                    <w:t>实习资源等。</w:t>
                  </w:r>
                </w:p>
              </w:tc>
            </w:tr>
          </w:tbl>
          <w:p w14:paraId="21421189" w14:textId="77777777" w:rsidR="004C5D18" w:rsidRDefault="004C5D18">
            <w:pPr>
              <w:spacing w:line="240" w:lineRule="auto"/>
              <w:ind w:firstLineChars="0" w:firstLine="0"/>
              <w:rPr>
                <w:color w:val="000000" w:themeColor="text1"/>
                <w:szCs w:val="21"/>
                <w:shd w:val="clear" w:color="auto" w:fill="FFFFFF"/>
              </w:rPr>
            </w:pPr>
          </w:p>
          <w:p w14:paraId="7EA772E2" w14:textId="77777777" w:rsidR="004C5D18" w:rsidRDefault="004C5D18">
            <w:pPr>
              <w:spacing w:line="240" w:lineRule="auto"/>
              <w:ind w:firstLineChars="0" w:firstLine="0"/>
              <w:rPr>
                <w:color w:val="000000" w:themeColor="text1"/>
                <w:szCs w:val="21"/>
                <w:shd w:val="clear" w:color="auto" w:fill="FFFFFF"/>
              </w:rPr>
            </w:pPr>
          </w:p>
          <w:p w14:paraId="78EF3831" w14:textId="77777777" w:rsidR="004C5D18" w:rsidRDefault="00000000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4.</w:t>
            </w:r>
            <w:r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技术认证：遵照《大数据分析与应用开发职业技能等级标准》（</w:t>
            </w:r>
            <w:r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T/CAICI 41-2022</w:t>
            </w:r>
            <w:r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）要求，参赛优秀学生可获得中国通信企业协会颁发的“大数据开发工程师”对应等级证书并纳入“信息通信应用人才数据库”以及获得工业和信息化部教育与考试中心“大数据开发工程师”对应等级证书并纳入“工业和信息化技术技能人才数据库”。（具体奖励办法另行通知）</w:t>
            </w:r>
          </w:p>
        </w:tc>
      </w:tr>
      <w:tr w:rsidR="004C5D18" w14:paraId="7FB741EE" w14:textId="77777777">
        <w:trPr>
          <w:trHeight w:hRule="exact" w:val="1206"/>
        </w:trPr>
        <w:tc>
          <w:tcPr>
            <w:tcW w:w="937" w:type="pct"/>
            <w:vAlign w:val="center"/>
          </w:tcPr>
          <w:p w14:paraId="4D24F9B3" w14:textId="77777777" w:rsidR="004C5D18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4063" w:type="pct"/>
          </w:tcPr>
          <w:p w14:paraId="1E8C1967" w14:textId="77777777" w:rsidR="004C5D18" w:rsidRDefault="00000000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无</w:t>
            </w:r>
          </w:p>
        </w:tc>
      </w:tr>
    </w:tbl>
    <w:p w14:paraId="34694C89" w14:textId="77777777" w:rsidR="004C5D18" w:rsidRDefault="004C5D18">
      <w:pPr>
        <w:ind w:firstLineChars="0" w:firstLine="0"/>
      </w:pPr>
    </w:p>
    <w:sectPr w:rsidR="004C5D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FDCEE" w14:textId="77777777" w:rsidR="00AB1ABD" w:rsidRDefault="00AB1ABD">
      <w:pPr>
        <w:spacing w:line="240" w:lineRule="auto"/>
        <w:ind w:firstLine="480"/>
      </w:pPr>
      <w:r>
        <w:separator/>
      </w:r>
    </w:p>
  </w:endnote>
  <w:endnote w:type="continuationSeparator" w:id="0">
    <w:p w14:paraId="7FC1DDF3" w14:textId="77777777" w:rsidR="00AB1ABD" w:rsidRDefault="00AB1ABD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DBCAA" w14:textId="77777777" w:rsidR="004C5D18" w:rsidRDefault="004C5D18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30549650"/>
    </w:sdtPr>
    <w:sdtContent>
      <w:p w14:paraId="756B2834" w14:textId="77777777" w:rsidR="004C5D18" w:rsidRDefault="00000000">
        <w:pPr>
          <w:pStyle w:val="a3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AF23EDD" w14:textId="77777777" w:rsidR="004C5D18" w:rsidRDefault="004C5D18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1F7DD" w14:textId="77777777" w:rsidR="004C5D18" w:rsidRDefault="004C5D18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6A101" w14:textId="77777777" w:rsidR="00AB1ABD" w:rsidRDefault="00AB1ABD">
      <w:pPr>
        <w:ind w:firstLine="480"/>
      </w:pPr>
      <w:r>
        <w:separator/>
      </w:r>
    </w:p>
  </w:footnote>
  <w:footnote w:type="continuationSeparator" w:id="0">
    <w:p w14:paraId="0832708B" w14:textId="77777777" w:rsidR="00AB1ABD" w:rsidRDefault="00AB1ABD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23526" w14:textId="77777777" w:rsidR="004C5D18" w:rsidRDefault="004C5D18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E145D" w14:textId="77777777" w:rsidR="004C5D18" w:rsidRDefault="004C5D18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7B41D" w14:textId="77777777" w:rsidR="004C5D18" w:rsidRDefault="004C5D18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DEFF80"/>
    <w:multiLevelType w:val="singleLevel"/>
    <w:tmpl w:val="FFDEFF80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6904947E"/>
    <w:multiLevelType w:val="singleLevel"/>
    <w:tmpl w:val="6904947E"/>
    <w:lvl w:ilvl="0">
      <w:start w:val="1"/>
      <w:numFmt w:val="chineseCounting"/>
      <w:suff w:val="nothing"/>
      <w:lvlText w:val="（%1）"/>
      <w:lvlJc w:val="left"/>
      <w:rPr>
        <w:rFonts w:hint="eastAsia"/>
        <w:color w:val="auto"/>
      </w:rPr>
    </w:lvl>
  </w:abstractNum>
  <w:num w:numId="1" w16cid:durableId="314070138">
    <w:abstractNumId w:val="1"/>
  </w:num>
  <w:num w:numId="2" w16cid:durableId="1524395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TVkNmVhYjQxYjczZmQ2MTU5ZmZkYjY3ZGZiNWM0MWQifQ=="/>
  </w:docVars>
  <w:rsids>
    <w:rsidRoot w:val="00A04928"/>
    <w:rsid w:val="972F5FCD"/>
    <w:rsid w:val="AFAC7197"/>
    <w:rsid w:val="B57E1B00"/>
    <w:rsid w:val="BDFE1085"/>
    <w:rsid w:val="BE56FC28"/>
    <w:rsid w:val="BFA465D1"/>
    <w:rsid w:val="BFF358C4"/>
    <w:rsid w:val="D7FE9365"/>
    <w:rsid w:val="DCFE0367"/>
    <w:rsid w:val="DE7F98D9"/>
    <w:rsid w:val="E1F53A84"/>
    <w:rsid w:val="E9FFDED2"/>
    <w:rsid w:val="ED5747A9"/>
    <w:rsid w:val="F1FD8B1A"/>
    <w:rsid w:val="F3FF9C37"/>
    <w:rsid w:val="F5F95DAF"/>
    <w:rsid w:val="FB3F4F11"/>
    <w:rsid w:val="FBA71556"/>
    <w:rsid w:val="FBEF505F"/>
    <w:rsid w:val="FC97BEF4"/>
    <w:rsid w:val="FDCFE6A6"/>
    <w:rsid w:val="FDEBC4EA"/>
    <w:rsid w:val="FDF50AC3"/>
    <w:rsid w:val="FF3EA70A"/>
    <w:rsid w:val="FFBFAB5D"/>
    <w:rsid w:val="FFCFB388"/>
    <w:rsid w:val="FFEFF34B"/>
    <w:rsid w:val="00064060"/>
    <w:rsid w:val="00071B45"/>
    <w:rsid w:val="000931B4"/>
    <w:rsid w:val="000D16DA"/>
    <w:rsid w:val="0018384C"/>
    <w:rsid w:val="00191F32"/>
    <w:rsid w:val="001A2070"/>
    <w:rsid w:val="001B475B"/>
    <w:rsid w:val="001F0492"/>
    <w:rsid w:val="00262A67"/>
    <w:rsid w:val="002A6463"/>
    <w:rsid w:val="002C13C4"/>
    <w:rsid w:val="00314537"/>
    <w:rsid w:val="00404A22"/>
    <w:rsid w:val="004141F9"/>
    <w:rsid w:val="00462AFD"/>
    <w:rsid w:val="00497D61"/>
    <w:rsid w:val="004C5D18"/>
    <w:rsid w:val="00572759"/>
    <w:rsid w:val="005F1C63"/>
    <w:rsid w:val="00612F7F"/>
    <w:rsid w:val="0069297B"/>
    <w:rsid w:val="006B5D57"/>
    <w:rsid w:val="006E1250"/>
    <w:rsid w:val="006F07B3"/>
    <w:rsid w:val="00702C91"/>
    <w:rsid w:val="007C1283"/>
    <w:rsid w:val="00841FE5"/>
    <w:rsid w:val="00864110"/>
    <w:rsid w:val="0086558A"/>
    <w:rsid w:val="00865EE0"/>
    <w:rsid w:val="00891D29"/>
    <w:rsid w:val="008A507B"/>
    <w:rsid w:val="008B088B"/>
    <w:rsid w:val="00917ACE"/>
    <w:rsid w:val="009536E6"/>
    <w:rsid w:val="00972DED"/>
    <w:rsid w:val="009A1199"/>
    <w:rsid w:val="00A04928"/>
    <w:rsid w:val="00AA3433"/>
    <w:rsid w:val="00AB1ABD"/>
    <w:rsid w:val="00AE7E34"/>
    <w:rsid w:val="00AF144D"/>
    <w:rsid w:val="00B40251"/>
    <w:rsid w:val="00BE49C3"/>
    <w:rsid w:val="00C23BEB"/>
    <w:rsid w:val="00C55755"/>
    <w:rsid w:val="00C762BA"/>
    <w:rsid w:val="00CC15E1"/>
    <w:rsid w:val="00CE1DA4"/>
    <w:rsid w:val="00D10264"/>
    <w:rsid w:val="00E22446"/>
    <w:rsid w:val="00E66FED"/>
    <w:rsid w:val="00E77B83"/>
    <w:rsid w:val="00E87C4B"/>
    <w:rsid w:val="00EB65A3"/>
    <w:rsid w:val="00EF65A3"/>
    <w:rsid w:val="00F0229E"/>
    <w:rsid w:val="00F30DD3"/>
    <w:rsid w:val="00F44781"/>
    <w:rsid w:val="00F4578F"/>
    <w:rsid w:val="00F87416"/>
    <w:rsid w:val="00FA777A"/>
    <w:rsid w:val="00FF4C09"/>
    <w:rsid w:val="00FF76FB"/>
    <w:rsid w:val="02671768"/>
    <w:rsid w:val="03D1333D"/>
    <w:rsid w:val="059451B2"/>
    <w:rsid w:val="07906B3F"/>
    <w:rsid w:val="080A1514"/>
    <w:rsid w:val="08F33E3B"/>
    <w:rsid w:val="0EA16002"/>
    <w:rsid w:val="0FF6C0BE"/>
    <w:rsid w:val="10134CDE"/>
    <w:rsid w:val="15A703A2"/>
    <w:rsid w:val="16946B78"/>
    <w:rsid w:val="19946505"/>
    <w:rsid w:val="1BE96BE7"/>
    <w:rsid w:val="1D5D57EA"/>
    <w:rsid w:val="1DB17772"/>
    <w:rsid w:val="1F09296A"/>
    <w:rsid w:val="2205092A"/>
    <w:rsid w:val="22B6385C"/>
    <w:rsid w:val="24CF3471"/>
    <w:rsid w:val="25822292"/>
    <w:rsid w:val="2AAD3D65"/>
    <w:rsid w:val="2B944ACD"/>
    <w:rsid w:val="2BE5357A"/>
    <w:rsid w:val="2C5A1872"/>
    <w:rsid w:val="2D7E4C04"/>
    <w:rsid w:val="2E4F3075"/>
    <w:rsid w:val="2E580034"/>
    <w:rsid w:val="34254E5C"/>
    <w:rsid w:val="36DBC1FE"/>
    <w:rsid w:val="36E154F3"/>
    <w:rsid w:val="37BF1123"/>
    <w:rsid w:val="37EB499E"/>
    <w:rsid w:val="385F0CD8"/>
    <w:rsid w:val="39AE76A2"/>
    <w:rsid w:val="39F748EE"/>
    <w:rsid w:val="3E2148E6"/>
    <w:rsid w:val="41CB7812"/>
    <w:rsid w:val="44132515"/>
    <w:rsid w:val="44146C7C"/>
    <w:rsid w:val="45131267"/>
    <w:rsid w:val="47E7616B"/>
    <w:rsid w:val="49BF321D"/>
    <w:rsid w:val="49D56585"/>
    <w:rsid w:val="4D6E5E9F"/>
    <w:rsid w:val="50342257"/>
    <w:rsid w:val="51CC64BF"/>
    <w:rsid w:val="526E1706"/>
    <w:rsid w:val="54696247"/>
    <w:rsid w:val="59EB1506"/>
    <w:rsid w:val="5D0905C7"/>
    <w:rsid w:val="5F3EBA5D"/>
    <w:rsid w:val="6138591F"/>
    <w:rsid w:val="64B259E8"/>
    <w:rsid w:val="67BC65FA"/>
    <w:rsid w:val="69716F32"/>
    <w:rsid w:val="6BFD579B"/>
    <w:rsid w:val="6E8C1058"/>
    <w:rsid w:val="6FE78785"/>
    <w:rsid w:val="72D60AF4"/>
    <w:rsid w:val="75695C4F"/>
    <w:rsid w:val="76BFF43E"/>
    <w:rsid w:val="77ED5B75"/>
    <w:rsid w:val="77F3EC3E"/>
    <w:rsid w:val="78EFB08E"/>
    <w:rsid w:val="796FC5E9"/>
    <w:rsid w:val="79B4F848"/>
    <w:rsid w:val="7BD27E36"/>
    <w:rsid w:val="7CEE19A0"/>
    <w:rsid w:val="7DBFA073"/>
    <w:rsid w:val="7DC52CF4"/>
    <w:rsid w:val="7DCF3C07"/>
    <w:rsid w:val="7DFA6D3F"/>
    <w:rsid w:val="7DFB7C34"/>
    <w:rsid w:val="7E37E89B"/>
    <w:rsid w:val="7EB56880"/>
    <w:rsid w:val="7F6AE861"/>
    <w:rsid w:val="7FFD26F8"/>
    <w:rsid w:val="7FFF8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FA9607"/>
  <w15:docId w15:val="{B2BB0908-28B9-4E9D-8774-DCE6F77D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napToGrid w:val="0"/>
      <w:spacing w:line="360" w:lineRule="auto"/>
      <w:ind w:firstLineChars="200" w:firstLine="200"/>
      <w:jc w:val="both"/>
    </w:pPr>
    <w:rPr>
      <w:rFonts w:eastAsia="仿宋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 w:line="240" w:lineRule="auto"/>
      <w:ind w:firstLineChars="0" w:firstLine="0"/>
      <w:jc w:val="left"/>
    </w:pPr>
    <w:rPr>
      <w:kern w:val="0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仿宋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仿宋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322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bupt</dc:creator>
  <cp:lastModifiedBy>bupt</cp:lastModifiedBy>
  <cp:revision>68</cp:revision>
  <dcterms:created xsi:type="dcterms:W3CDTF">2024-02-23T01:15:00Z</dcterms:created>
  <dcterms:modified xsi:type="dcterms:W3CDTF">2024-06-03T08:30:00Z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BB509C080E69E241E567E8657A7E10E2_42</vt:lpwstr>
  </property>
</Properties>
</file>