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jc w:val="left"/>
        <w:rPr>
          <w:rFonts w:ascii="黑体" w:eastAsia="黑体" w:hAnsi="黑体" w:cs="黑体" w:hint="eastAsia"/>
          <w:sz w:val="32"/>
          <w:lang w:val="en-US" w:eastAsia="zh-CN"/>
        </w:rPr>
      </w:pPr>
      <w:r>
        <w:rPr>
          <w:rFonts w:ascii="黑体" w:eastAsia="黑体" w:hAnsi="黑体" w:cs="黑体" w:hint="eastAsia"/>
          <w:sz w:val="32"/>
          <w:lang w:val="en-US" w:eastAsia="zh-CN"/>
        </w:rPr>
        <w:t>附件</w:t>
      </w:r>
    </w:p>
    <w:p>
      <w:pPr>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《桂林年鉴（2025）》桂林电子科技大学供稿</w:t>
      </w:r>
    </w:p>
    <w:p>
      <w:pPr>
        <w:spacing w:line="300" w:lineRule="exact"/>
        <w:rPr>
          <w:rFonts w:ascii="宋体" w:eastAsia="宋体" w:hAnsi="宋体" w:cs="宋体" w:hint="eastAsia"/>
          <w:szCs w:val="21"/>
        </w:rPr>
      </w:pPr>
      <w:r>
        <w:rPr>
          <w:rFonts w:ascii="宋体" w:eastAsia="宋体" w:hAnsi="宋体" w:cs="宋体" w:hint="eastAsia"/>
          <w:b/>
          <w:bCs/>
          <w:szCs w:val="21"/>
        </w:rPr>
        <w:t>【桂林</w:t>
      </w:r>
      <w:r>
        <w:rPr>
          <w:rFonts w:ascii="宋体" w:eastAsia="宋体" w:hAnsi="宋体" w:cs="宋体"/>
          <w:b/>
          <w:bCs/>
          <w:szCs w:val="21"/>
        </w:rPr>
        <w:t>电子科技大学</w:t>
      </w:r>
      <w:r>
        <w:rPr>
          <w:rFonts w:ascii="宋体" w:eastAsia="宋体" w:hAnsi="宋体" w:cs="宋体" w:hint="eastAsia"/>
          <w:b/>
          <w:bCs/>
          <w:szCs w:val="21"/>
        </w:rPr>
        <w:t xml:space="preserve">】 </w:t>
      </w:r>
      <w:r>
        <w:rPr>
          <w:rFonts w:ascii="宋体" w:eastAsia="宋体" w:hAnsi="宋体" w:cs="宋体"/>
          <w:b/>
          <w:bCs/>
          <w:szCs w:val="21"/>
        </w:rPr>
        <w:t xml:space="preserve"> </w:t>
      </w:r>
    </w:p>
    <w:p>
      <w:pPr>
        <w:spacing w:line="300" w:lineRule="exact"/>
        <w:ind w:firstLine="420" w:firstLineChars="200"/>
        <w:rPr>
          <w:rFonts w:ascii="宋体" w:eastAsia="宋体" w:hAnsi="宋体" w:cs="宋体" w:hint="eastAsia"/>
          <w:szCs w:val="21"/>
          <w:lang w:eastAsia="zh-CN"/>
        </w:rPr>
      </w:pPr>
      <w:r>
        <w:rPr>
          <w:rFonts w:ascii="宋体" w:eastAsia="宋体" w:hAnsi="宋体" w:cs="宋体" w:hint="eastAsia"/>
          <w:szCs w:val="21"/>
        </w:rPr>
        <w:t>2024年，该校有金鸡岭校区、六合路校区、花江校区、北海校区4个校区，校园占地面积310.66公顷。</w:t>
      </w:r>
      <w:r>
        <w:rPr>
          <w:rFonts w:ascii="宋体" w:eastAsia="宋体" w:hAnsi="宋体" w:cs="宋体" w:hint="eastAsia"/>
          <w:b/>
          <w:bCs/>
          <w:color w:val="FF0000"/>
          <w:szCs w:val="21"/>
        </w:rPr>
        <w:t>（发规处）</w:t>
      </w:r>
      <w:r>
        <w:rPr>
          <w:rFonts w:ascii="宋体" w:eastAsia="宋体" w:hAnsi="宋体" w:cs="宋体" w:hint="eastAsia"/>
          <w:szCs w:val="21"/>
        </w:rPr>
        <w:t>设教学单位20个、党政管理部门21个、教辅单位4个及附属单位2个</w:t>
      </w:r>
      <w:r>
        <w:rPr>
          <w:rFonts w:ascii="宋体" w:eastAsia="宋体" w:hAnsi="宋体" w:cs="宋体"/>
          <w:szCs w:val="21"/>
        </w:rPr>
        <w:t>。</w:t>
      </w:r>
      <w:r>
        <w:rPr>
          <w:rFonts w:ascii="宋体" w:eastAsia="宋体" w:hAnsi="宋体" w:cs="宋体" w:hint="eastAsia"/>
          <w:b/>
          <w:bCs/>
          <w:color w:val="FF0000"/>
          <w:szCs w:val="21"/>
        </w:rPr>
        <w:t>（</w:t>
      </w:r>
      <w:r>
        <w:rPr>
          <w:rFonts w:ascii="宋体" w:eastAsia="宋体" w:hAnsi="宋体" w:cs="宋体" w:hint="eastAsia"/>
          <w:b/>
          <w:bCs/>
          <w:color w:val="FF0000"/>
          <w:szCs w:val="21"/>
          <w:lang w:val="en-US" w:eastAsia="zh-CN"/>
        </w:rPr>
        <w:t>人事处</w:t>
      </w:r>
      <w:r>
        <w:rPr>
          <w:rFonts w:ascii="宋体" w:eastAsia="宋体" w:hAnsi="宋体" w:cs="宋体" w:hint="eastAsia"/>
          <w:b/>
          <w:bCs/>
          <w:color w:val="FF0000"/>
          <w:szCs w:val="21"/>
        </w:rPr>
        <w:t>）</w:t>
      </w:r>
      <w:r>
        <w:rPr>
          <w:rFonts w:ascii="宋体" w:eastAsia="宋体" w:hAnsi="宋体" w:cs="宋体" w:hint="eastAsia"/>
          <w:szCs w:val="21"/>
          <w:lang w:val="en-US" w:eastAsia="zh-CN"/>
        </w:rPr>
        <w:t>有</w:t>
      </w:r>
      <w:r>
        <w:rPr>
          <w:rFonts w:ascii="宋体" w:eastAsia="宋体" w:hAnsi="宋体" w:cs="宋体" w:hint="eastAsia"/>
          <w:szCs w:val="21"/>
        </w:rPr>
        <w:t>博士学位授权一级学科点8个，博士</w:t>
      </w:r>
      <w:bookmarkStart w:id="0" w:name="_GoBack"/>
      <w:bookmarkEnd w:id="0"/>
      <w:r>
        <w:rPr>
          <w:rFonts w:ascii="宋体" w:eastAsia="宋体" w:hAnsi="宋体" w:cs="宋体" w:hint="eastAsia"/>
          <w:szCs w:val="21"/>
        </w:rPr>
        <w:t>专业学位授权类别1个；广西一流学科建设学科A类2个，广西一流学科建设学科B类4个；硕士学位授权一级学科点21个，硕士专业学位授权类别12个。</w:t>
      </w:r>
      <w:r>
        <w:rPr>
          <w:rFonts w:ascii="宋体" w:eastAsia="宋体" w:hAnsi="宋体" w:cs="宋体" w:hint="eastAsia"/>
          <w:szCs w:val="21"/>
          <w:lang w:val="en-US" w:eastAsia="zh-CN"/>
        </w:rPr>
        <w:t>有</w:t>
      </w:r>
      <w:r>
        <w:rPr>
          <w:rFonts w:ascii="宋体" w:eastAsia="宋体" w:hAnsi="宋体" w:cs="宋体" w:hint="eastAsia"/>
          <w:szCs w:val="21"/>
        </w:rPr>
        <w:t>ESI全球前1%学科</w:t>
      </w:r>
      <w:r>
        <w:rPr>
          <w:rFonts w:ascii="宋体" w:eastAsia="宋体" w:hAnsi="宋体" w:cs="宋体" w:hint="eastAsia"/>
          <w:szCs w:val="21"/>
          <w:lang w:val="en-US" w:eastAsia="zh-CN"/>
        </w:rPr>
        <w:t>4个</w:t>
      </w:r>
      <w:r>
        <w:rPr>
          <w:rFonts w:ascii="宋体" w:eastAsia="宋体" w:hAnsi="宋体" w:cs="宋体" w:hint="eastAsia"/>
          <w:szCs w:val="21"/>
        </w:rPr>
        <w:t>。</w:t>
      </w:r>
      <w:r>
        <w:rPr>
          <w:rFonts w:ascii="宋体" w:eastAsia="宋体" w:hAnsi="宋体" w:cs="宋体" w:hint="eastAsia"/>
          <w:b/>
          <w:bCs/>
          <w:color w:val="FF0000"/>
          <w:szCs w:val="21"/>
        </w:rPr>
        <w:t>（发规处）</w:t>
      </w:r>
      <w:r>
        <w:rPr>
          <w:rFonts w:ascii="宋体" w:eastAsia="宋体" w:hAnsi="宋体" w:cs="宋体" w:hint="eastAsia"/>
          <w:szCs w:val="21"/>
          <w:lang w:val="en-US" w:eastAsia="zh-CN"/>
        </w:rPr>
        <w:t>年末</w:t>
      </w:r>
      <w:r>
        <w:rPr>
          <w:rFonts w:ascii="宋体" w:eastAsia="宋体" w:hAnsi="宋体" w:cs="宋体" w:hint="eastAsia"/>
          <w:szCs w:val="21"/>
        </w:rPr>
        <w:t>有教职工3382人，</w:t>
      </w:r>
      <w:r>
        <w:rPr>
          <w:rFonts w:ascii="宋体" w:eastAsia="宋体" w:hAnsi="宋体" w:cs="宋体" w:hint="eastAsia"/>
          <w:b/>
          <w:bCs/>
          <w:color w:val="FF0000"/>
          <w:szCs w:val="21"/>
        </w:rPr>
        <w:t>（</w:t>
      </w:r>
      <w:r>
        <w:rPr>
          <w:rFonts w:ascii="宋体" w:eastAsia="宋体" w:hAnsi="宋体" w:cs="宋体" w:hint="eastAsia"/>
          <w:b/>
          <w:bCs/>
          <w:color w:val="FF0000"/>
          <w:szCs w:val="21"/>
          <w:lang w:val="en-US" w:eastAsia="zh-CN"/>
        </w:rPr>
        <w:t>人事</w:t>
      </w:r>
      <w:r>
        <w:rPr>
          <w:rFonts w:ascii="宋体" w:eastAsia="宋体" w:hAnsi="宋体" w:cs="宋体" w:hint="eastAsia"/>
          <w:b/>
          <w:bCs/>
          <w:color w:val="FF0000"/>
          <w:szCs w:val="21"/>
        </w:rPr>
        <w:t>处）</w:t>
      </w:r>
      <w:r>
        <w:rPr>
          <w:rFonts w:ascii="宋体" w:eastAsia="宋体" w:hAnsi="宋体" w:cs="宋体"/>
          <w:szCs w:val="21"/>
        </w:rPr>
        <w:t>各类（在籍）学生</w:t>
      </w:r>
      <w:r>
        <w:rPr>
          <w:rFonts w:ascii="宋体" w:eastAsia="宋体" w:hAnsi="宋体" w:cs="宋体" w:hint="eastAsia"/>
          <w:szCs w:val="21"/>
        </w:rPr>
        <w:t>60178</w:t>
      </w:r>
      <w:r>
        <w:rPr>
          <w:rFonts w:ascii="宋体" w:eastAsia="宋体" w:hAnsi="宋体" w:cs="宋体"/>
          <w:szCs w:val="21"/>
        </w:rPr>
        <w:t>人</w:t>
      </w:r>
      <w:r>
        <w:rPr>
          <w:rFonts w:ascii="宋体" w:eastAsia="宋体" w:hAnsi="宋体" w:cs="宋体" w:hint="eastAsia"/>
          <w:szCs w:val="21"/>
          <w:lang w:eastAsia="zh-CN"/>
        </w:rPr>
        <w:t>，</w:t>
      </w:r>
      <w:r>
        <w:rPr>
          <w:rFonts w:ascii="宋体" w:eastAsia="宋体" w:hAnsi="宋体" w:cs="宋体"/>
          <w:szCs w:val="21"/>
        </w:rPr>
        <w:t>其中</w:t>
      </w:r>
      <w:r>
        <w:rPr>
          <w:rFonts w:ascii="宋体" w:eastAsia="宋体" w:hAnsi="宋体" w:cs="宋体" w:hint="eastAsia"/>
          <w:szCs w:val="21"/>
        </w:rPr>
        <w:t>桂林校区博士研究生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szCs w:val="21"/>
        </w:rPr>
        <w:t>硕士研究生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b/>
          <w:bCs/>
          <w:color w:val="FF0000"/>
          <w:szCs w:val="21"/>
        </w:rPr>
        <w:t>（研究生院）</w:t>
      </w:r>
      <w:r>
        <w:rPr>
          <w:rFonts w:ascii="宋体" w:eastAsia="宋体" w:hAnsi="宋体" w:cs="宋体"/>
          <w:szCs w:val="21"/>
        </w:rPr>
        <w:t>，</w:t>
      </w:r>
      <w:r>
        <w:rPr>
          <w:rFonts w:ascii="宋体" w:eastAsia="宋体" w:hAnsi="宋体" w:cs="宋体" w:hint="eastAsia"/>
          <w:szCs w:val="21"/>
        </w:rPr>
        <w:t>本科生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b/>
          <w:bCs/>
          <w:color w:val="FF0000"/>
          <w:szCs w:val="21"/>
        </w:rPr>
        <w:t>（学工处）</w:t>
      </w:r>
      <w:r>
        <w:rPr>
          <w:rFonts w:ascii="宋体" w:eastAsia="宋体" w:hAnsi="宋体" w:cs="宋体"/>
          <w:szCs w:val="21"/>
        </w:rPr>
        <w:t>，</w:t>
      </w:r>
      <w:r>
        <w:rPr>
          <w:rFonts w:ascii="宋体" w:eastAsia="宋体" w:hAnsi="宋体" w:cs="宋体" w:hint="eastAsia"/>
          <w:szCs w:val="21"/>
        </w:rPr>
        <w:t>来华留学生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b/>
          <w:bCs/>
          <w:color w:val="FF0000"/>
          <w:szCs w:val="21"/>
        </w:rPr>
        <w:t>（国际学院）</w:t>
      </w:r>
      <w:r>
        <w:rPr>
          <w:rFonts w:ascii="宋体" w:eastAsia="宋体" w:hAnsi="宋体" w:cs="宋体" w:hint="eastAsia"/>
          <w:szCs w:val="21"/>
        </w:rPr>
        <w:t>；北海校区硕士研究生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szCs w:val="21"/>
        </w:rPr>
        <w:t>，本科生</w:t>
      </w:r>
      <w:r>
        <w:rPr>
          <w:rFonts w:ascii="宋体" w:eastAsia="宋体" w:hAnsi="宋体" w:cs="宋体" w:hint="eastAsia"/>
          <w:szCs w:val="21"/>
          <w:lang w:val="en-US" w:eastAsia="zh-CN"/>
        </w:rPr>
        <w:t>×</w:t>
      </w:r>
      <w:r>
        <w:rPr>
          <w:rFonts w:ascii="宋体" w:eastAsia="宋体" w:hAnsi="宋体" w:cs="宋体" w:hint="eastAsia"/>
          <w:szCs w:val="21"/>
        </w:rPr>
        <w:t>人，专科生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szCs w:val="21"/>
        </w:rPr>
        <w:t>，来华留学生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b/>
          <w:bCs/>
          <w:color w:val="FF0000"/>
          <w:szCs w:val="21"/>
        </w:rPr>
        <w:t>（北海校区）</w:t>
      </w:r>
      <w:r>
        <w:rPr>
          <w:rFonts w:ascii="宋体" w:eastAsia="宋体" w:hAnsi="宋体" w:cs="宋体" w:hint="eastAsia"/>
          <w:szCs w:val="21"/>
        </w:rPr>
        <w:t>；成人教育专科学生</w:t>
      </w:r>
      <w:r>
        <w:rPr>
          <w:rFonts w:ascii="宋体" w:eastAsia="宋体" w:hAnsi="宋体" w:cs="宋体" w:hint="eastAsia"/>
          <w:szCs w:val="21"/>
          <w:lang w:val="en-US" w:eastAsia="zh-CN"/>
        </w:rPr>
        <w:t>×</w:t>
      </w:r>
      <w:r>
        <w:rPr>
          <w:rFonts w:ascii="宋体" w:eastAsia="宋体" w:hAnsi="宋体" w:cs="宋体"/>
          <w:szCs w:val="21"/>
        </w:rPr>
        <w:t>人、本科学生</w:t>
      </w:r>
      <w:r>
        <w:rPr>
          <w:rFonts w:ascii="宋体" w:eastAsia="宋体" w:hAnsi="宋体" w:cs="宋体" w:hint="eastAsia"/>
          <w:szCs w:val="21"/>
          <w:lang w:val="en-US" w:eastAsia="zh-CN"/>
        </w:rPr>
        <w:t>×</w:t>
      </w:r>
      <w:r>
        <w:rPr>
          <w:rFonts w:ascii="宋体" w:eastAsia="宋体" w:hAnsi="宋体" w:cs="宋体"/>
          <w:szCs w:val="21"/>
        </w:rPr>
        <w:t>人</w:t>
      </w:r>
      <w:r>
        <w:rPr>
          <w:rFonts w:ascii="宋体" w:eastAsia="宋体" w:hAnsi="宋体" w:cs="宋体" w:hint="eastAsia"/>
          <w:b/>
          <w:bCs/>
          <w:color w:val="FF0000"/>
          <w:szCs w:val="21"/>
        </w:rPr>
        <w:t>（继教院）</w:t>
      </w:r>
      <w:r>
        <w:rPr>
          <w:rFonts w:ascii="宋体" w:eastAsia="宋体" w:hAnsi="宋体" w:cs="宋体"/>
          <w:szCs w:val="21"/>
        </w:rPr>
        <w:t>。</w:t>
      </w:r>
    </w:p>
    <w:p>
      <w:pPr>
        <w:spacing w:line="300" w:lineRule="exact"/>
        <w:ind w:firstLine="420" w:firstLineChars="200"/>
        <w:rPr>
          <w:rFonts w:ascii="宋体" w:eastAsia="宋体" w:hAnsi="宋体" w:cs="宋体" w:hint="eastAsia"/>
          <w:szCs w:val="21"/>
        </w:rPr>
      </w:pPr>
      <w:r>
        <w:rPr>
          <w:rFonts w:ascii="宋体" w:eastAsia="宋体" w:hAnsi="宋体" w:cs="宋体"/>
          <w:szCs w:val="21"/>
        </w:rPr>
        <w:t>202</w:t>
      </w:r>
      <w:r>
        <w:rPr>
          <w:rFonts w:ascii="宋体" w:eastAsia="宋体" w:hAnsi="宋体" w:cs="宋体" w:hint="eastAsia"/>
          <w:szCs w:val="21"/>
        </w:rPr>
        <w:t>4</w:t>
      </w:r>
      <w:r>
        <w:rPr>
          <w:rFonts w:ascii="宋体" w:eastAsia="宋体" w:hAnsi="宋体" w:cs="宋体"/>
          <w:szCs w:val="21"/>
        </w:rPr>
        <w:t>年，该校</w:t>
      </w:r>
      <w:r>
        <w:rPr>
          <w:rFonts w:ascii="宋体" w:eastAsia="宋体" w:hAnsi="宋体" w:cs="宋体" w:hint="eastAsia"/>
          <w:szCs w:val="21"/>
        </w:rPr>
        <w:t>有</w:t>
      </w:r>
      <w:r>
        <w:rPr>
          <w:rFonts w:ascii="宋体" w:eastAsia="宋体" w:hAnsi="宋体" w:cs="宋体"/>
          <w:szCs w:val="21"/>
        </w:rPr>
        <w:t>国家级一流本科专业建设点23个，自治区级一流本科专业建设点13个。获批教育部产学合作协同育人项目</w:t>
      </w:r>
      <w:r>
        <w:rPr>
          <w:rFonts w:ascii="宋体" w:eastAsia="宋体" w:hAnsi="宋体" w:cs="宋体" w:hint="eastAsia"/>
          <w:szCs w:val="21"/>
        </w:rPr>
        <w:t>46</w:t>
      </w:r>
      <w:r>
        <w:rPr>
          <w:rFonts w:ascii="宋体" w:eastAsia="宋体" w:hAnsi="宋体" w:cs="宋体"/>
          <w:szCs w:val="21"/>
        </w:rPr>
        <w:t>项、自治区级教育教学改革项目</w:t>
      </w:r>
      <w:r>
        <w:rPr>
          <w:rFonts w:ascii="宋体" w:eastAsia="宋体" w:hAnsi="宋体" w:cs="宋体" w:hint="eastAsia"/>
          <w:szCs w:val="21"/>
        </w:rPr>
        <w:t>48</w:t>
      </w:r>
      <w:r>
        <w:rPr>
          <w:rFonts w:ascii="宋体" w:eastAsia="宋体" w:hAnsi="宋体" w:cs="宋体"/>
          <w:szCs w:val="21"/>
        </w:rPr>
        <w:t>项、自治区级“新工科”研究与实践项目</w:t>
      </w:r>
      <w:r>
        <w:rPr>
          <w:rFonts w:ascii="宋体" w:eastAsia="宋体" w:hAnsi="宋体" w:cs="宋体" w:hint="eastAsia"/>
          <w:szCs w:val="21"/>
        </w:rPr>
        <w:t>5</w:t>
      </w:r>
      <w:r>
        <w:rPr>
          <w:rFonts w:ascii="宋体" w:eastAsia="宋体" w:hAnsi="宋体" w:cs="宋体"/>
          <w:szCs w:val="21"/>
        </w:rPr>
        <w:t>项、自治区级“新文科”研究与实践项目1项</w:t>
      </w:r>
      <w:r>
        <w:rPr>
          <w:rFonts w:ascii="宋体" w:eastAsia="宋体" w:hAnsi="宋体" w:cs="宋体" w:hint="eastAsia"/>
          <w:szCs w:val="21"/>
        </w:rPr>
        <w:t>、</w:t>
      </w:r>
      <w:r>
        <w:rPr>
          <w:rFonts w:ascii="宋体" w:eastAsia="宋体" w:hAnsi="宋体" w:cs="宋体"/>
          <w:szCs w:val="21"/>
        </w:rPr>
        <w:t>自治区级“新</w:t>
      </w:r>
      <w:r>
        <w:rPr>
          <w:rFonts w:ascii="宋体" w:eastAsia="宋体" w:hAnsi="宋体" w:cs="宋体" w:hint="eastAsia"/>
          <w:szCs w:val="21"/>
        </w:rPr>
        <w:t>医</w:t>
      </w:r>
      <w:r>
        <w:rPr>
          <w:rFonts w:ascii="宋体" w:eastAsia="宋体" w:hAnsi="宋体" w:cs="宋体"/>
          <w:szCs w:val="21"/>
        </w:rPr>
        <w:t>科”研究与实践项目1项</w:t>
      </w:r>
      <w:r>
        <w:rPr>
          <w:rFonts w:ascii="宋体" w:eastAsia="宋体" w:hAnsi="宋体" w:cs="宋体" w:hint="eastAsia"/>
          <w:szCs w:val="21"/>
        </w:rPr>
        <w:t>；</w:t>
      </w:r>
      <w:r>
        <w:rPr>
          <w:rFonts w:ascii="宋体" w:eastAsia="宋体" w:hAnsi="宋体" w:cs="宋体"/>
          <w:szCs w:val="21"/>
        </w:rPr>
        <w:t>中国东盟集成电路现代产业学院、现代软件产业学院、先进电子信息材料产业学院、智能制造现代化产业学院等4个自治区级示范性现代产业学院</w:t>
      </w:r>
      <w:r>
        <w:rPr>
          <w:rFonts w:ascii="宋体" w:eastAsia="宋体" w:hAnsi="宋体" w:cs="宋体" w:hint="eastAsia"/>
          <w:szCs w:val="21"/>
        </w:rPr>
        <w:t>完成中期检查</w:t>
      </w:r>
      <w:r>
        <w:rPr>
          <w:rFonts w:ascii="宋体" w:eastAsia="宋体" w:hAnsi="宋体" w:cs="宋体"/>
          <w:szCs w:val="21"/>
        </w:rPr>
        <w:t>。</w:t>
      </w:r>
      <w:r>
        <w:rPr>
          <w:rFonts w:ascii="宋体" w:eastAsia="宋体" w:hAnsi="宋体" w:cs="宋体" w:hint="eastAsia"/>
          <w:szCs w:val="21"/>
        </w:rPr>
        <w:t>获批</w:t>
      </w:r>
      <w:r>
        <w:rPr>
          <w:rFonts w:ascii="宋体" w:eastAsia="宋体" w:hAnsi="宋体" w:cs="宋体" w:hint="eastAsia"/>
          <w:szCs w:val="21"/>
          <w:lang w:val="en-US" w:eastAsia="zh-CN"/>
        </w:rPr>
        <w:t>首批</w:t>
      </w:r>
      <w:r>
        <w:rPr>
          <w:rFonts w:ascii="宋体" w:eastAsia="宋体" w:hAnsi="宋体" w:cs="宋体" w:hint="eastAsia"/>
          <w:szCs w:val="21"/>
        </w:rPr>
        <w:t>自治区示范性教师发展中心立项建设单位。</w:t>
      </w:r>
      <w:r>
        <w:rPr>
          <w:rFonts w:ascii="宋体" w:eastAsia="宋体" w:hAnsi="宋体" w:cs="宋体" w:hint="eastAsia"/>
          <w:sz w:val="21"/>
          <w:szCs w:val="21"/>
        </w:rPr>
        <w:t>成功举办中国高等教育学会大学素质教育研究分会2024学术年会、全国匹克球发展研讨会、中国匹克球巡回赛总决赛、首届中国匹克球城市挑战赛。</w:t>
      </w:r>
      <w:r>
        <w:rPr>
          <w:rFonts w:ascii="宋体" w:eastAsia="宋体" w:hAnsi="宋体" w:cs="宋体" w:hint="eastAsia"/>
          <w:b/>
          <w:bCs/>
          <w:color w:val="FF0000"/>
          <w:szCs w:val="21"/>
        </w:rPr>
        <w:t>（教务处）</w:t>
      </w:r>
    </w:p>
    <w:p>
      <w:pPr>
        <w:spacing w:line="300" w:lineRule="exact"/>
        <w:ind w:firstLine="420" w:firstLineChars="200"/>
        <w:rPr>
          <w:rFonts w:ascii="宋体" w:eastAsia="宋体" w:hAnsi="宋体" w:cs="宋体" w:hint="eastAsia"/>
          <w:szCs w:val="21"/>
        </w:rPr>
      </w:pPr>
      <w:r>
        <w:rPr>
          <w:rFonts w:ascii="宋体" w:eastAsia="宋体" w:hAnsi="宋体" w:cs="宋体" w:hint="eastAsia"/>
          <w:szCs w:val="21"/>
        </w:rPr>
        <w:t>2024年</w:t>
      </w:r>
      <w:r>
        <w:rPr>
          <w:rFonts w:ascii="宋体" w:eastAsia="宋体" w:hAnsi="宋体" w:cs="宋体" w:hint="eastAsia"/>
          <w:szCs w:val="21"/>
          <w:lang w:eastAsia="zh-CN"/>
        </w:rPr>
        <w:t>，</w:t>
      </w:r>
      <w:r>
        <w:rPr>
          <w:rFonts w:ascii="宋体" w:eastAsia="宋体" w:hAnsi="宋体" w:cs="宋体" w:hint="eastAsia"/>
          <w:szCs w:val="21"/>
          <w:lang w:val="en-US" w:eastAsia="zh-CN"/>
        </w:rPr>
        <w:t>该校</w:t>
      </w:r>
      <w:r>
        <w:rPr>
          <w:rFonts w:ascii="宋体" w:eastAsia="宋体" w:hAnsi="宋体" w:cs="宋体" w:hint="eastAsia"/>
          <w:szCs w:val="21"/>
        </w:rPr>
        <w:t>教师参加教学竞赛获奖91项，其中获全国性奖励48项、省部级或分赛区奖励43项。</w:t>
      </w:r>
      <w:r>
        <w:rPr>
          <w:rFonts w:ascii="宋体" w:eastAsia="宋体" w:hAnsi="宋体" w:cs="宋体"/>
          <w:szCs w:val="21"/>
        </w:rPr>
        <w:t>获自治区级大学生创新创业训练计划立项</w:t>
      </w:r>
      <w:r>
        <w:rPr>
          <w:rFonts w:ascii="宋体" w:eastAsia="宋体" w:hAnsi="宋体" w:cs="宋体" w:hint="eastAsia"/>
          <w:szCs w:val="21"/>
        </w:rPr>
        <w:t>549项，其中国家级项目128项，自治区级项目343项，校级项目78项，</w:t>
      </w:r>
      <w:r>
        <w:rPr>
          <w:rFonts w:ascii="宋体" w:eastAsia="宋体" w:hAnsi="宋体" w:cs="宋体"/>
          <w:szCs w:val="21"/>
        </w:rPr>
        <w:t>入选第十</w:t>
      </w:r>
      <w:r>
        <w:rPr>
          <w:rFonts w:ascii="宋体" w:eastAsia="宋体" w:hAnsi="宋体" w:cs="宋体" w:hint="eastAsia"/>
          <w:szCs w:val="21"/>
        </w:rPr>
        <w:t>六</w:t>
      </w:r>
      <w:r>
        <w:rPr>
          <w:rFonts w:ascii="宋体" w:eastAsia="宋体" w:hAnsi="宋体" w:cs="宋体"/>
          <w:szCs w:val="21"/>
        </w:rPr>
        <w:t>届全国大学生创新创业年会成果2项。</w:t>
      </w:r>
      <w:r>
        <w:rPr>
          <w:rFonts w:ascii="宋体" w:eastAsia="宋体" w:hAnsi="宋体" w:cs="宋体" w:hint="eastAsia"/>
          <w:szCs w:val="21"/>
        </w:rPr>
        <w:t>承办中国大学生机械工程创新创意大赛智能制造赛广西赛区选拔赛、</w:t>
      </w:r>
      <w:r>
        <w:rPr>
          <w:rFonts w:ascii="宋体" w:eastAsia="宋体" w:hAnsi="宋体" w:cs="宋体"/>
          <w:szCs w:val="21"/>
        </w:rPr>
        <w:t xml:space="preserve">2024 </w:t>
      </w:r>
      <w:r>
        <w:rPr>
          <w:rFonts w:ascii="宋体" w:eastAsia="宋体" w:hAnsi="宋体" w:cs="宋体" w:hint="eastAsia"/>
          <w:szCs w:val="21"/>
        </w:rPr>
        <w:t>年（第七届）全国大学生工业设计大赛广西赛区选拔赛暨第十二届广西大学生工业设计大赛等</w:t>
      </w:r>
      <w:r>
        <w:rPr>
          <w:rFonts w:ascii="宋体" w:eastAsia="宋体" w:hAnsi="宋体" w:cs="宋体"/>
          <w:szCs w:val="21"/>
        </w:rPr>
        <w:t>9</w:t>
      </w:r>
      <w:r>
        <w:rPr>
          <w:rFonts w:ascii="宋体" w:eastAsia="宋体" w:hAnsi="宋体" w:cs="宋体" w:hint="eastAsia"/>
          <w:szCs w:val="21"/>
        </w:rPr>
        <w:t>项广西区竞赛。中国国际大学生创新大赛（2024）</w:t>
      </w:r>
      <w:r>
        <w:rPr>
          <w:rFonts w:ascii="宋体" w:eastAsia="宋体" w:hAnsi="宋体" w:cs="宋体" w:hint="eastAsia"/>
          <w:szCs w:val="21"/>
          <w:lang w:val="en-US" w:eastAsia="zh-CN"/>
        </w:rPr>
        <w:t>获</w:t>
      </w:r>
      <w:r>
        <w:rPr>
          <w:rFonts w:ascii="宋体" w:eastAsia="宋体" w:hAnsi="宋体" w:cs="宋体" w:hint="eastAsia"/>
          <w:szCs w:val="21"/>
        </w:rPr>
        <w:t>铜奖4项，广西赛区</w:t>
      </w:r>
      <w:r>
        <w:rPr>
          <w:rFonts w:ascii="宋体" w:eastAsia="宋体" w:hAnsi="宋体" w:cs="宋体"/>
          <w:szCs w:val="21"/>
        </w:rPr>
        <w:t>金奖</w:t>
      </w:r>
      <w:r>
        <w:rPr>
          <w:rFonts w:ascii="宋体" w:eastAsia="宋体" w:hAnsi="宋体" w:cs="宋体" w:hint="eastAsia"/>
          <w:szCs w:val="21"/>
        </w:rPr>
        <w:t>6</w:t>
      </w:r>
      <w:r>
        <w:rPr>
          <w:rFonts w:ascii="宋体" w:eastAsia="宋体" w:hAnsi="宋体" w:cs="宋体"/>
          <w:szCs w:val="21"/>
        </w:rPr>
        <w:t>项、银奖1</w:t>
      </w:r>
      <w:r>
        <w:rPr>
          <w:rFonts w:ascii="宋体" w:eastAsia="宋体" w:hAnsi="宋体" w:cs="宋体" w:hint="eastAsia"/>
          <w:szCs w:val="21"/>
        </w:rPr>
        <w:t>8</w:t>
      </w:r>
      <w:r>
        <w:rPr>
          <w:rFonts w:ascii="宋体" w:eastAsia="宋体" w:hAnsi="宋体" w:cs="宋体"/>
          <w:szCs w:val="21"/>
        </w:rPr>
        <w:t>项，铜奖3</w:t>
      </w:r>
      <w:r>
        <w:rPr>
          <w:rFonts w:ascii="宋体" w:eastAsia="宋体" w:hAnsi="宋体" w:cs="宋体" w:hint="eastAsia"/>
          <w:szCs w:val="21"/>
        </w:rPr>
        <w:t>3</w:t>
      </w:r>
      <w:r>
        <w:rPr>
          <w:rFonts w:ascii="宋体" w:eastAsia="宋体" w:hAnsi="宋体" w:cs="宋体"/>
          <w:szCs w:val="21"/>
        </w:rPr>
        <w:t>项。</w:t>
      </w:r>
      <w:r>
        <w:rPr>
          <w:rFonts w:ascii="宋体" w:eastAsia="宋体" w:hAnsi="宋体" w:cs="宋体" w:hint="eastAsia"/>
          <w:szCs w:val="21"/>
        </w:rPr>
        <w:t>在2024年全国大学生电子设计竞赛信息科技前沿专题赛和模拟专题赛中</w:t>
      </w:r>
      <w:r>
        <w:rPr>
          <w:rFonts w:ascii="宋体" w:eastAsia="宋体" w:hAnsi="宋体" w:cs="宋体" w:hint="eastAsia"/>
          <w:szCs w:val="21"/>
          <w:lang w:eastAsia="zh-CN"/>
        </w:rPr>
        <w:t>，</w:t>
      </w:r>
      <w:r>
        <w:rPr>
          <w:rFonts w:ascii="宋体" w:eastAsia="宋体" w:hAnsi="宋体" w:cs="宋体" w:hint="eastAsia"/>
          <w:szCs w:val="21"/>
        </w:rPr>
        <w:t>获一等奖2</w:t>
      </w:r>
      <w:r>
        <w:rPr>
          <w:rFonts w:ascii="宋体" w:eastAsia="宋体" w:hAnsi="宋体" w:cs="宋体" w:hint="eastAsia"/>
          <w:szCs w:val="21"/>
          <w:lang w:val="en-US" w:eastAsia="zh-CN"/>
        </w:rPr>
        <w:t>项</w:t>
      </w:r>
      <w:r>
        <w:rPr>
          <w:rFonts w:ascii="宋体" w:eastAsia="宋体" w:hAnsi="宋体" w:cs="宋体" w:hint="eastAsia"/>
          <w:szCs w:val="21"/>
        </w:rPr>
        <w:t>，是获一等奖数量最多的高校。在全国普通高校大学生竞赛八轮总榜单中位列全国44位。学校牵头建设的中国－东盟电子信息技术创新学院入选中国—东盟技术创新学院立项建设单位。</w:t>
      </w:r>
      <w:r>
        <w:rPr>
          <w:rFonts w:ascii="宋体" w:eastAsia="宋体" w:hAnsi="宋体" w:cs="宋体" w:hint="eastAsia"/>
          <w:b/>
          <w:bCs/>
          <w:color w:val="FF0000"/>
          <w:szCs w:val="21"/>
        </w:rPr>
        <w:t>（教务处</w:t>
      </w:r>
      <w:r>
        <w:rPr>
          <w:rFonts w:ascii="宋体" w:eastAsia="宋体" w:hAnsi="宋体" w:cs="宋体" w:hint="eastAsia"/>
          <w:b/>
          <w:bCs/>
          <w:color w:val="FF0000"/>
          <w:szCs w:val="21"/>
          <w:lang w:eastAsia="zh-CN"/>
        </w:rPr>
        <w:t>、</w:t>
      </w:r>
      <w:r>
        <w:rPr>
          <w:rFonts w:ascii="宋体" w:eastAsia="宋体" w:hAnsi="宋体" w:cs="宋体" w:hint="eastAsia"/>
          <w:b/>
          <w:bCs/>
          <w:color w:val="FF0000"/>
          <w:szCs w:val="21"/>
          <w:lang w:val="en-US" w:eastAsia="zh-CN"/>
        </w:rPr>
        <w:t>团委</w:t>
      </w:r>
      <w:r>
        <w:rPr>
          <w:rFonts w:ascii="宋体" w:eastAsia="宋体" w:hAnsi="宋体" w:cs="宋体" w:hint="eastAsia"/>
          <w:b/>
          <w:bCs/>
          <w:color w:val="FF0000"/>
          <w:szCs w:val="21"/>
        </w:rPr>
        <w:t>）</w:t>
      </w:r>
    </w:p>
    <w:p>
      <w:pPr>
        <w:spacing w:line="300" w:lineRule="exact"/>
        <w:ind w:firstLine="420" w:firstLineChars="200"/>
        <w:rPr>
          <w:rFonts w:ascii="宋体" w:eastAsia="宋体" w:hAnsi="宋体" w:cs="宋体" w:hint="eastAsia"/>
          <w:szCs w:val="21"/>
        </w:rPr>
      </w:pPr>
      <w:r>
        <w:rPr>
          <w:rFonts w:ascii="宋体" w:eastAsia="宋体" w:hAnsi="宋体" w:cs="宋体" w:hint="eastAsia"/>
          <w:szCs w:val="21"/>
        </w:rPr>
        <w:t>2024年，该校持续推进研究生课程思政建设，将课程思政融入课堂教学，立项建设校级研究生课程思政示范课程4门；持续推进“121”工程，提升研究生课程建设质量，共立项建设校级课程建设项目14项，其中全英文授课课程项目2项、在线开放课程项目2项、校企融合课程1项、案例库项目9项；获教育部学位与研究生教育发展中心（中国专业学位案例中心）立项案例1个，课程成功入选教育部在线示范研究生课程1门；获得区级研究生教学成果二等奖2项。新增区级博士研究生创新项目12项、硕士研究生创新项目41项、学位与研究生教改项目25项、研究生学术论坛1项；新增校级博士研究生创新项目22项、硕士研究生创新项目236项、学位与研究生教改项目7项。新增校级联培基地3个。在中国研究生电子设计大赛总决赛中</w:t>
      </w:r>
      <w:r>
        <w:rPr>
          <w:rFonts w:ascii="宋体" w:eastAsia="宋体" w:hAnsi="宋体" w:cs="宋体" w:hint="eastAsia"/>
          <w:szCs w:val="21"/>
          <w:lang w:eastAsia="zh-CN"/>
        </w:rPr>
        <w:t>，</w:t>
      </w:r>
      <w:r>
        <w:rPr>
          <w:rFonts w:ascii="宋体" w:eastAsia="宋体" w:hAnsi="宋体" w:cs="宋体" w:hint="eastAsia"/>
          <w:szCs w:val="21"/>
        </w:rPr>
        <w:t>获全国一等奖2项</w:t>
      </w:r>
      <w:r>
        <w:rPr>
          <w:rFonts w:ascii="宋体" w:eastAsia="宋体" w:hAnsi="宋体" w:cs="宋体" w:hint="eastAsia"/>
          <w:szCs w:val="21"/>
          <w:lang w:eastAsia="zh-CN"/>
        </w:rPr>
        <w:t>、</w:t>
      </w:r>
      <w:r>
        <w:rPr>
          <w:rFonts w:ascii="宋体" w:eastAsia="宋体" w:hAnsi="宋体" w:cs="宋体" w:hint="eastAsia"/>
          <w:szCs w:val="21"/>
        </w:rPr>
        <w:t>二等奖2项</w:t>
      </w:r>
      <w:r>
        <w:rPr>
          <w:rFonts w:ascii="宋体" w:eastAsia="宋体" w:hAnsi="宋体" w:cs="宋体" w:hint="eastAsia"/>
          <w:szCs w:val="21"/>
          <w:lang w:eastAsia="zh-CN"/>
        </w:rPr>
        <w:t>、</w:t>
      </w:r>
      <w:r>
        <w:rPr>
          <w:rFonts w:ascii="宋体" w:eastAsia="宋体" w:hAnsi="宋体" w:cs="宋体" w:hint="eastAsia"/>
          <w:szCs w:val="21"/>
        </w:rPr>
        <w:t>三等奖1项，</w:t>
      </w:r>
      <w:r>
        <w:rPr>
          <w:rFonts w:ascii="宋体" w:eastAsia="宋体" w:hAnsi="宋体" w:cs="宋体" w:hint="eastAsia"/>
          <w:szCs w:val="21"/>
          <w:lang w:val="en-US" w:eastAsia="zh-CN"/>
        </w:rPr>
        <w:t>1</w:t>
      </w:r>
      <w:r>
        <w:rPr>
          <w:rFonts w:ascii="宋体" w:eastAsia="宋体" w:hAnsi="宋体" w:cs="宋体" w:hint="eastAsia"/>
          <w:szCs w:val="21"/>
        </w:rPr>
        <w:t>项参赛队伍晋级TOP10；获中国研究生数学建模竞赛全国二等奖2项</w:t>
      </w:r>
      <w:r>
        <w:rPr>
          <w:rFonts w:ascii="宋体" w:eastAsia="宋体" w:hAnsi="宋体" w:cs="宋体" w:hint="eastAsia"/>
          <w:szCs w:val="21"/>
          <w:lang w:eastAsia="zh-CN"/>
        </w:rPr>
        <w:t>、</w:t>
      </w:r>
      <w:r>
        <w:rPr>
          <w:rFonts w:ascii="宋体" w:eastAsia="宋体" w:hAnsi="宋体" w:cs="宋体" w:hint="eastAsia"/>
          <w:szCs w:val="21"/>
        </w:rPr>
        <w:t>三等奖6项；获中国研究生企业管理创新大赛全国二等奖4项</w:t>
      </w:r>
      <w:r>
        <w:rPr>
          <w:rFonts w:ascii="宋体" w:eastAsia="宋体" w:hAnsi="宋体" w:cs="宋体" w:hint="eastAsia"/>
          <w:szCs w:val="21"/>
          <w:lang w:eastAsia="zh-CN"/>
        </w:rPr>
        <w:t>、</w:t>
      </w:r>
      <w:r>
        <w:rPr>
          <w:rFonts w:ascii="宋体" w:eastAsia="宋体" w:hAnsi="宋体" w:cs="宋体" w:hint="eastAsia"/>
          <w:szCs w:val="21"/>
        </w:rPr>
        <w:t>三等奖2项；获中国研究生“美丽中国”创新设计大赛全国二等奖8项</w:t>
      </w:r>
      <w:r>
        <w:rPr>
          <w:rFonts w:ascii="宋体" w:eastAsia="宋体" w:hAnsi="宋体" w:cs="宋体" w:hint="eastAsia"/>
          <w:szCs w:val="21"/>
          <w:lang w:eastAsia="zh-CN"/>
        </w:rPr>
        <w:t>、</w:t>
      </w:r>
      <w:r>
        <w:rPr>
          <w:rFonts w:ascii="宋体" w:eastAsia="宋体" w:hAnsi="宋体" w:cs="宋体" w:hint="eastAsia"/>
          <w:szCs w:val="21"/>
        </w:rPr>
        <w:t>三等奖17项；获中国研究生创“芯”大赛-EDA精英挑战赛机器人创新设计大赛全国三等奖1项；获中国研究生人工智能创新大赛全国三等奖4项；获中国研究生“双碳”创新与创意大赛全国二等奖1项。</w:t>
      </w:r>
      <w:r>
        <w:rPr>
          <w:rFonts w:ascii="宋体" w:eastAsia="宋体" w:hAnsi="宋体" w:cs="宋体" w:hint="eastAsia"/>
          <w:b/>
          <w:bCs/>
          <w:color w:val="FF0000"/>
          <w:szCs w:val="21"/>
        </w:rPr>
        <w:t>（研究生院）</w:t>
      </w:r>
    </w:p>
    <w:p>
      <w:pPr>
        <w:spacing w:line="300" w:lineRule="exact"/>
        <w:ind w:firstLine="420" w:firstLineChars="200"/>
        <w:rPr>
          <w:rFonts w:ascii="宋体" w:eastAsia="宋体" w:hAnsi="宋体" w:cs="宋体" w:hint="eastAsia"/>
          <w:szCs w:val="21"/>
        </w:rPr>
      </w:pPr>
      <w:r>
        <w:rPr>
          <w:rFonts w:ascii="宋体" w:eastAsia="宋体" w:hAnsi="宋体" w:cs="宋体" w:hint="eastAsia"/>
          <w:szCs w:val="21"/>
        </w:rPr>
        <w:t>2024年，该校科技项目总到位经费20012万元，同比增长17.8%。学校牵头获批国家自然科学基金60项，含重点重大类项目3项，其中国家自然科学基金重大项目课题、国家自然科学基金“叶企孙”科学基金项目均为学校首次牵头获批。牵头获批国家社会科学基金项目6项，其中教育学专项及思政专项均为学校首次获得立项。新增广西重点研发计划项目39项</w:t>
      </w:r>
      <w:r>
        <w:rPr>
          <w:rFonts w:ascii="宋体" w:eastAsia="宋体" w:hAnsi="宋体" w:cs="宋体" w:hint="eastAsia"/>
          <w:szCs w:val="21"/>
          <w:lang w:eastAsia="zh-CN"/>
        </w:rPr>
        <w:t>；</w:t>
      </w:r>
      <w:r>
        <w:rPr>
          <w:rFonts w:ascii="宋体" w:eastAsia="宋体" w:hAnsi="宋体" w:cs="宋体" w:hint="eastAsia"/>
          <w:szCs w:val="21"/>
        </w:rPr>
        <w:t>新增广西自然科学基金类项目77项</w:t>
      </w:r>
      <w:r>
        <w:rPr>
          <w:rFonts w:ascii="宋体" w:eastAsia="宋体" w:hAnsi="宋体" w:cs="宋体" w:hint="eastAsia"/>
          <w:szCs w:val="21"/>
          <w:lang w:eastAsia="zh-CN"/>
        </w:rPr>
        <w:t>；</w:t>
      </w:r>
      <w:r>
        <w:rPr>
          <w:rFonts w:ascii="宋体" w:eastAsia="宋体" w:hAnsi="宋体" w:cs="宋体" w:hint="eastAsia"/>
          <w:szCs w:val="21"/>
        </w:rPr>
        <w:t>新增广西哲学社会科学项目27项，同比增长68%。学校4041件存量专利实现100%建档、100%盘点。建立专利开放许可清单88件并通过国家知识产权局审查及面向社会公告。全年完成专利许可和转让214件，其中达成专利开放许可近30件。2024年以第一完成单位首次获得ZF信息系统局授予的创新突破奖1项；首次获得国家密码管理局授予的2024年度党政机要密码科学技术奖励1 项；以第一完成单位获广西科学技术奖10项，其中一等奖2项。全年完成科技成果转化300余项，技术交易额首次超过7000万元，其中重大科技成果转化项目（100万以上）10项。决策咨询报告</w:t>
      </w:r>
      <w:r>
        <w:rPr>
          <w:rFonts w:ascii="宋体" w:eastAsia="宋体" w:hAnsi="宋体" w:cs="宋体" w:hint="eastAsia"/>
          <w:szCs w:val="21"/>
          <w:lang w:val="en-US" w:eastAsia="zh-CN"/>
        </w:rPr>
        <w:t>获国家主要领导人</w:t>
      </w:r>
      <w:r>
        <w:rPr>
          <w:rFonts w:ascii="宋体" w:eastAsia="宋体" w:hAnsi="宋体" w:cs="宋体" w:hint="eastAsia"/>
          <w:szCs w:val="21"/>
        </w:rPr>
        <w:t>批示7篇</w:t>
      </w:r>
      <w:r>
        <w:rPr>
          <w:rFonts w:ascii="宋体" w:eastAsia="宋体" w:hAnsi="宋体" w:cs="宋体" w:hint="eastAsia"/>
          <w:szCs w:val="21"/>
          <w:lang w:eastAsia="zh-CN"/>
        </w:rPr>
        <w:t>、</w:t>
      </w:r>
      <w:r>
        <w:rPr>
          <w:rFonts w:ascii="宋体" w:eastAsia="宋体" w:hAnsi="宋体" w:cs="宋体" w:hint="eastAsia"/>
          <w:szCs w:val="21"/>
        </w:rPr>
        <w:t>中央政治局常委批示1篇</w:t>
      </w:r>
      <w:r>
        <w:rPr>
          <w:rFonts w:ascii="宋体" w:eastAsia="宋体" w:hAnsi="宋体" w:cs="宋体" w:hint="eastAsia"/>
          <w:szCs w:val="21"/>
          <w:lang w:eastAsia="zh-CN"/>
        </w:rPr>
        <w:t>、</w:t>
      </w:r>
      <w:r>
        <w:rPr>
          <w:rFonts w:ascii="宋体" w:eastAsia="宋体" w:hAnsi="宋体" w:cs="宋体" w:hint="eastAsia"/>
          <w:szCs w:val="21"/>
        </w:rPr>
        <w:t>自治区党委政府主要领导批示8篇。学校与南宁市签署市校合作“113工程”协议，广西桂电技术服务中心正式揭牌运营。与华为签署全面深化合作协议，与自治区产业技术研究院共建广西首个光电技术概念验证中心。</w:t>
      </w:r>
      <w:r>
        <w:rPr>
          <w:rFonts w:ascii="宋体" w:eastAsia="宋体" w:hAnsi="宋体" w:cs="宋体" w:hint="eastAsia"/>
          <w:b/>
          <w:bCs/>
          <w:color w:val="FF0000"/>
          <w:szCs w:val="21"/>
        </w:rPr>
        <w:t>（科研院）</w:t>
      </w:r>
    </w:p>
    <w:p>
      <w:pPr>
        <w:spacing w:line="300" w:lineRule="exact"/>
        <w:ind w:firstLine="420" w:firstLineChars="200"/>
        <w:rPr>
          <w:rFonts w:ascii="宋体" w:eastAsia="宋体" w:hAnsi="宋体" w:cs="宋体" w:hint="eastAsia"/>
          <w:szCs w:val="21"/>
        </w:rPr>
      </w:pPr>
      <w:r>
        <w:rPr>
          <w:rFonts w:ascii="宋体" w:eastAsia="宋体" w:hAnsi="宋体" w:cs="宋体" w:hint="eastAsia"/>
          <w:szCs w:val="21"/>
        </w:rPr>
        <w:t>2024年，该校推进桂林电子科技大学克莱蒙智能金融学院中外合作办学机构的申报工作。国（境）外、港澳台人员来校开展学术交流、论坛讲座等187人次。与东盟国家签署国际交流与合作协议10份。累计组织19批次约28项海外访学、国际组织实习实训和碳综合项目，共派出学生464名。首次全额资助61名</w:t>
      </w:r>
      <w:r>
        <w:rPr>
          <w:rFonts w:ascii="宋体" w:eastAsia="宋体" w:hAnsi="宋体" w:cs="宋体" w:hint="eastAsia"/>
          <w:szCs w:val="21"/>
          <w:highlight w:val="none"/>
        </w:rPr>
        <w:t>优秀学生</w:t>
      </w:r>
      <w:r>
        <w:rPr>
          <w:rFonts w:ascii="宋体" w:eastAsia="宋体" w:hAnsi="宋体" w:cs="宋体" w:hint="eastAsia"/>
          <w:szCs w:val="21"/>
        </w:rPr>
        <w:t>赴马来西亚参加中国-东盟信息港电子信息人才培养与科技创新联盟暑期访学活动。小学期国际学术文化交流周共开设8大方向32场主题讲座，学生参与人数逾2000人次。开展东盟国家高级职业人才培训、东盟学生实习实训等短期培训项目19个，参训人数457人次</w:t>
      </w:r>
      <w:r>
        <w:rPr>
          <w:rFonts w:ascii="宋体" w:eastAsia="宋体" w:hAnsi="宋体" w:cs="宋体" w:hint="eastAsia"/>
          <w:szCs w:val="21"/>
          <w:highlight w:val="none"/>
        </w:rPr>
        <w:t>。</w:t>
      </w:r>
      <w:r>
        <w:rPr>
          <w:rFonts w:ascii="宋体" w:eastAsia="宋体" w:hAnsi="宋体" w:cs="宋体" w:hint="eastAsia"/>
          <w:b/>
          <w:bCs/>
          <w:color w:val="FF0000"/>
          <w:szCs w:val="21"/>
        </w:rPr>
        <w:t>（国际学院）</w:t>
      </w:r>
    </w:p>
    <w:sectPr>
      <w:headerReference w:type="even" r:id="rId5"/>
      <w:headerReference w:type="default" r:id="rId6"/>
      <w:footerReference w:type="even" r:id="rId7"/>
      <w:footerReference w:type="default" r:id="rId8"/>
      <w:headerReference w:type="first" r:id="rId9"/>
      <w:footerReference w:type="first" r:id="rId10"/>
      <w:pgSz w:w="11906" w:h="16838"/>
      <w:pgMar w:top="1134" w:right="1134" w:bottom="1134" w:left="1134" w:header="851" w:footer="992" w:gutter="0"/>
      <w:cols w:num="1" w:space="425"/>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embedRegular r:id="rId1" w:fontKey="{6931DF2C-589D-4F00-ACD7-B317CCE50024}"/>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宋体">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rPr>
        <w:rFonts w:hint="eastAsia"/>
        <w:sz w:val="24"/>
        <w:szCs w:val="24"/>
      </w:rPr>
    </w:pPr>
    <w:r>
      <w:rPr>
        <w:rFonts w:hint="eastAsia"/>
        <w:sz w:val="24"/>
      </w:rPr>
      <w:pict>
        <v:shapetype id="_x0000_t202" coordsize="21600,21600" o:spt="202" path="m,l,21600r21600,l21600,xe">
          <v:stroke joinstyle="miter"/>
          <v:path gradientshapeok="t" o:connecttype="rect"/>
        </v:shapetype>
        <v:shape id="文本框 2" o:spid="_x0000_s2050" type="#_x0000_t202" style="height:2in;margin-left:0;margin-top:0;mso-height-relative:page;mso-position-horizontal:right;mso-position-horizontal-relative:margin;mso-width-relative:page;mso-wrap-style:none;position:absolute;width:2in;z-index:251659264" coordsize="21600,21600" filled="f" stroked="f">
          <v:stroke joinstyle="miter"/>
          <v:textbox style="mso-fit-shape-to-text:t" inset="0,0,0,0">
            <w:txbxContent>
              <w:p>
                <w:pPr>
                  <w:pStyle w:val="Footer"/>
                  <w:ind w:firstLine="0" w:firstLineChars="0"/>
                  <w:rPr>
                    <w:rFonts w:hint="eastAsia"/>
                  </w:rPr>
                </w:pPr>
                <w:r>
                  <w:rPr>
                    <w:rFonts w:hint="eastAsia"/>
                    <w:sz w:val="24"/>
                    <w:szCs w:val="24"/>
                  </w:rPr>
                  <w:t>—</w:t>
                </w:r>
                <w:r>
                  <w:rPr>
                    <w:sz w:val="24"/>
                    <w:szCs w:val="24"/>
                  </w:rPr>
                  <w:fldChar w:fldCharType="begin"/>
                </w:r>
                <w:r>
                  <w:rPr>
                    <w:sz w:val="24"/>
                    <w:szCs w:val="24"/>
                  </w:rPr>
                  <w:instrText>PAGE   \* MERGEFORMAT</w:instrText>
                </w:r>
                <w:r>
                  <w:rPr>
                    <w:sz w:val="24"/>
                    <w:szCs w:val="24"/>
                  </w:rPr>
                  <w:fldChar w:fldCharType="separate"/>
                </w:r>
                <w:r>
                  <w:rPr>
                    <w:sz w:val="24"/>
                    <w:szCs w:val="24"/>
                    <w:lang w:val="zh-CN"/>
                  </w:rPr>
                  <w:t>4</w:t>
                </w:r>
                <w:r>
                  <w:rPr>
                    <w:sz w:val="24"/>
                    <w:szCs w:val="24"/>
                  </w:rPr>
                  <w:fldChar w:fldCharType="end"/>
                </w:r>
                <w:r>
                  <w:rPr>
                    <w:rFonts w:hint="eastAsia"/>
                    <w:sz w:val="24"/>
                    <w:szCs w:val="24"/>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right"/>
      <w:rPr>
        <w:rFonts w:hint="eastAsia"/>
        <w:sz w:val="24"/>
        <w:szCs w:val="24"/>
      </w:rPr>
    </w:pPr>
    <w:r>
      <w:rPr>
        <w:rFonts w:hint="eastAsia"/>
        <w:sz w:val="24"/>
      </w:rPr>
      <w:pict>
        <v:shapetype id="_x0000_t202" coordsize="21600,21600" o:spt="202" path="m,l,21600r21600,l21600,xe">
          <v:stroke joinstyle="miter"/>
          <v:path gradientshapeok="t" o:connecttype="rect"/>
        </v:shapetype>
        <v:shape id="文本框 1" o:spid="_x0000_s2049" type="#_x0000_t202" style="height:15.55pt;margin-left:0;margin-top:0;mso-height-relative:page;mso-position-horizontal:right;mso-position-horizontal-relative:margin;mso-width-relative:page;mso-wrap-style:none;position:absolute;width:30.05pt;z-index:251658240" coordsize="21600,21600" filled="f" stroked="f">
          <v:stroke joinstyle="miter"/>
          <v:textbox style="mso-fit-shape-to-text:t" inset="0,0,0,0">
            <w:txbxContent>
              <w:p>
                <w:pPr>
                  <w:pStyle w:val="Footer"/>
                  <w:ind w:firstLine="0" w:firstLineChars="0"/>
                  <w:jc w:val="right"/>
                  <w:rPr>
                    <w:rFonts w:hint="eastAsia"/>
                  </w:rPr>
                </w:pPr>
                <w:r>
                  <w:rPr>
                    <w:rFonts w:hint="eastAsia"/>
                    <w:sz w:val="24"/>
                    <w:szCs w:val="24"/>
                  </w:rPr>
                  <w:t>—</w:t>
                </w:r>
                <w:r>
                  <w:rPr>
                    <w:sz w:val="24"/>
                    <w:szCs w:val="24"/>
                  </w:rPr>
                  <w:fldChar w:fldCharType="begin"/>
                </w:r>
                <w:r>
                  <w:rPr>
                    <w:sz w:val="24"/>
                    <w:szCs w:val="24"/>
                  </w:rPr>
                  <w:instrText>PAGE   \* MERGEFORMAT</w:instrText>
                </w:r>
                <w:r>
                  <w:rPr>
                    <w:sz w:val="24"/>
                    <w:szCs w:val="24"/>
                  </w:rPr>
                  <w:fldChar w:fldCharType="separate"/>
                </w:r>
                <w:r>
                  <w:rPr>
                    <w:sz w:val="24"/>
                    <w:szCs w:val="24"/>
                    <w:lang w:val="zh-CN"/>
                  </w:rPr>
                  <w:t>3</w:t>
                </w:r>
                <w:r>
                  <w:rPr>
                    <w:sz w:val="24"/>
                    <w:szCs w:val="24"/>
                  </w:rPr>
                  <w:fldChar w:fldCharType="end"/>
                </w:r>
                <w:r>
                  <w:rPr>
                    <w:rFonts w:hint="eastAsia"/>
                    <w:sz w:val="24"/>
                    <w:szCs w:val="24"/>
                  </w:rPr>
                  <w:t>—</w:t>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640"/>
      <w:rPr>
        <w:rFonts w:hint="eastAsia"/>
      </w:rP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64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ocumentProtection w:edit="trackedChanges"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0NGU0NzNlMGFkYjc0ZDk5MTA1NDFlOWMxNjY4O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autoRedefine/>
    <w:uiPriority w:val="99"/>
    <w:semiHidden/>
    <w:unhideWhenUsed/>
    <w:qFormat/>
    <w:pPr>
      <w:ind w:firstLine="420" w:firstLineChars="200"/>
    </w:pPr>
  </w:style>
  <w:style w:type="paragraph" w:styleId="BodyTextIndent">
    <w:name w:val="Body Text Indent"/>
    <w:basedOn w:val="Normal"/>
    <w:autoRedefine/>
    <w:uiPriority w:val="99"/>
    <w:semiHidden/>
    <w:unhideWhenUsed/>
    <w:qFormat/>
    <w:pPr>
      <w:spacing w:after="120"/>
      <w:ind w:left="420" w:leftChars="200"/>
    </w:pPr>
  </w:style>
  <w:style w:type="paragraph" w:styleId="Footer">
    <w:name w:val="footer"/>
    <w:basedOn w:val="Normal"/>
    <w:link w:val="a"/>
    <w:autoRedefine/>
    <w:uiPriority w:val="99"/>
    <w:unhideWhenUsed/>
    <w:qFormat/>
    <w:pPr>
      <w:tabs>
        <w:tab w:val="center" w:pos="4153"/>
        <w:tab w:val="right" w:pos="8306"/>
      </w:tabs>
      <w:snapToGrid w:val="0"/>
      <w:spacing w:line="240" w:lineRule="atLeast"/>
      <w:ind w:firstLine="200" w:firstLineChars="200"/>
      <w:jc w:val="left"/>
    </w:pPr>
    <w:rPr>
      <w:rFonts w:ascii="仿宋_GB2312" w:eastAsia="仿宋_GB2312"/>
      <w:sz w:val="18"/>
      <w:szCs w:val="18"/>
    </w:rPr>
  </w:style>
  <w:style w:type="paragraph" w:styleId="Header">
    <w:name w:val="header"/>
    <w:basedOn w:val="Normal"/>
    <w:link w:val="a0"/>
    <w:autoRedefine/>
    <w:uiPriority w:val="99"/>
    <w:unhideWhenUsed/>
    <w:qFormat/>
    <w:pPr>
      <w:pBdr>
        <w:bottom w:val="single" w:sz="6" w:space="1" w:color="auto"/>
      </w:pBdr>
      <w:tabs>
        <w:tab w:val="center" w:pos="4153"/>
        <w:tab w:val="right" w:pos="8306"/>
      </w:tabs>
      <w:snapToGrid w:val="0"/>
      <w:spacing w:line="240" w:lineRule="atLeast"/>
      <w:ind w:firstLine="200" w:firstLineChars="200"/>
      <w:jc w:val="center"/>
    </w:pPr>
    <w:rPr>
      <w:rFonts w:ascii="仿宋_GB2312" w:eastAsia="仿宋_GB2312"/>
      <w:sz w:val="18"/>
      <w:szCs w:val="18"/>
    </w:rPr>
  </w:style>
  <w:style w:type="character" w:customStyle="1" w:styleId="a">
    <w:name w:val="页脚 字符"/>
    <w:basedOn w:val="DefaultParagraphFont"/>
    <w:link w:val="Footer"/>
    <w:autoRedefine/>
    <w:uiPriority w:val="99"/>
    <w:qFormat/>
    <w:rPr>
      <w:rFonts w:ascii="仿宋_GB2312" w:eastAsia="仿宋_GB2312"/>
      <w:sz w:val="18"/>
      <w:szCs w:val="18"/>
    </w:rPr>
  </w:style>
  <w:style w:type="character" w:customStyle="1" w:styleId="a0">
    <w:name w:val="页眉 字符"/>
    <w:basedOn w:val="DefaultParagraphFont"/>
    <w:link w:val="Header"/>
    <w:autoRedefine/>
    <w:uiPriority w:val="99"/>
    <w:qFormat/>
    <w:rPr>
      <w:rFonts w:ascii="仿宋_GB2312" w:eastAsia="仿宋_GB2312"/>
      <w:sz w:val="18"/>
      <w:szCs w:val="18"/>
    </w:rPr>
  </w:style>
  <w:style w:type="paragraph" w:customStyle="1" w:styleId="1">
    <w:name w:val="修订1"/>
    <w:autoRedefine/>
    <w:hidden/>
    <w:uiPriority w:val="99"/>
    <w:semiHidden/>
    <w:qFormat/>
    <w:rPr>
      <w:rFonts w:asciiTheme="minorHAnsi" w:eastAsiaTheme="minorEastAsia" w:hAnsiTheme="minorHAnsi" w:cstheme="minorBidi"/>
      <w:kern w:val="2"/>
      <w:sz w:val="21"/>
      <w:szCs w:val="22"/>
      <w:lang w:val="en-US" w:eastAsia="zh-CN" w:bidi="ar-SA"/>
    </w:rPr>
  </w:style>
  <w:style w:type="paragraph" w:customStyle="1" w:styleId="2">
    <w:name w:val="修订2"/>
    <w:autoRedefine/>
    <w:hidden/>
    <w:uiPriority w:val="99"/>
    <w:semiHidden/>
    <w:qFormat/>
    <w:rPr>
      <w:rFonts w:asciiTheme="minorHAnsi"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2155</Words>
  <Characters>2301</Characters>
  <Application>Microsoft Office Word</Application>
  <DocSecurity>0</DocSecurity>
  <Lines>43</Lines>
  <Paragraphs>12</Paragraphs>
  <ScaleCrop>false</ScaleCrop>
  <Company/>
  <LinksUpToDate>false</LinksUpToDate>
  <CharactersWithSpaces>2305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21101003</cp:lastModifiedBy>
  <cp:revision>8</cp:revision>
  <cp:lastPrinted>2025-04-08T07:36:00Z</cp:lastPrinted>
  <dcterms:created xsi:type="dcterms:W3CDTF">2025-03-21T10:58:00Z</dcterms:created>
  <dcterms:modified xsi:type="dcterms:W3CDTF">2026-04-07T08:45:43Z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CC42C3DD7ECD4619B8E19A687B1F772D_13</vt:lpwstr>
  </property>
  <property fmtid="{D5CDD505-2E9C-101B-9397-08002B2CF9AE}" pid="3" name="KSOProductBuildVer">
    <vt:lpwstr>2052-12.1.0.25225</vt:lpwstr>
  </property>
  <property fmtid="{D5CDD505-2E9C-101B-9397-08002B2CF9AE}" pid="4" name="KSOTemplateDocerSaveRecord">
    <vt:lpwstr>eyJoZGlkIjoiZTAzYmI4ZDUzYzM1NDhhODk4YzdjNWM3N2M4NDAxZGMiLCJ1c2VySWQiOiIxNzg4NjA1OTg4In0=</vt:lpwstr>
  </property>
</Properties>
</file>