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1F64C"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英雄游戏2026届春季校园招聘｜寻找未来英雄；成就游戏梦想 招聘岗位:程序类，策划类，美术类，市场类，运营类 工作地点:北京、杭州、广州 在这里，我们用英雄的待遇匹配英雄：有竞争力的薪酬、项目奖金、各类补助、长期激励；员工食堂、免费班车、胶囊公寓、健身房、电竞馆、篮球场、VR体验间、自助零食区、露天休闲区，应有尽有 投递简历：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77E5"/>
          <w:spacing w:val="0"/>
          <w:sz w:val="21"/>
          <w:szCs w:val="21"/>
          <w:u w:val="single"/>
          <w:bdr w:val="none" w:color="auto" w:sz="0" w:space="0"/>
          <w:shd w:val="clear" w:fill="FFFFFF"/>
        </w:rPr>
        <w:t>https://app.mokahr.com/campus_apply/yingxionghr/65922?recommendCode=DSjeVsMw#/jobs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6548B"/>
    <w:rsid w:val="3E96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2026-03-23T07:44:00Z</dcterms:created>
  <dc:creator>cly</dc:creator>
  <cp:lastModifiedBy>cly</cp:lastModifiedBy>
  <dcterms:modified xsi:type="dcterms:W3CDTF">2026-03-23T07:45:12Z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6BD4690191154572BE09DEC33520B67A_11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