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98CB90">
      <w:pPr>
        <w:spacing w:before="156" w:beforeLines="50" w:after="156" w:afterLines="50" w:line="400" w:lineRule="exact"/>
        <w:jc w:val="center"/>
        <w:rPr>
          <w:rFonts w:ascii="方正小标宋简体" w:eastAsia="方正小标宋简体"/>
          <w:bCs/>
          <w:color w:val="auto"/>
          <w:sz w:val="44"/>
          <w:szCs w:val="44"/>
        </w:rPr>
      </w:pPr>
      <w:r>
        <w:rPr>
          <w:rFonts w:hint="eastAsia" w:ascii="方正小标宋简体" w:eastAsia="方正小标宋简体"/>
          <w:bCs/>
          <w:color w:val="auto"/>
          <w:sz w:val="44"/>
          <w:szCs w:val="44"/>
        </w:rPr>
        <w:t>2026年度广西科学技术进步奖拟提名项目公示信息</w:t>
      </w:r>
    </w:p>
    <w:p w14:paraId="1FC61F38">
      <w:pPr>
        <w:spacing w:before="156" w:beforeLines="50" w:after="156" w:afterLines="50" w:line="400" w:lineRule="exact"/>
        <w:jc w:val="center"/>
        <w:rPr>
          <w:rFonts w:ascii="方正小标宋简体" w:eastAsia="方正小标宋简体"/>
          <w:bCs/>
          <w:color w:val="auto"/>
          <w:sz w:val="44"/>
          <w:szCs w:val="44"/>
        </w:rPr>
      </w:pPr>
    </w:p>
    <w:tbl>
      <w:tblPr>
        <w:tblStyle w:val="7"/>
        <w:tblW w:w="140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405"/>
        <w:gridCol w:w="3882"/>
        <w:gridCol w:w="1646"/>
        <w:gridCol w:w="6104"/>
      </w:tblGrid>
      <w:tr w14:paraId="0D3DC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1" w:hRule="atLeast"/>
          <w:jc w:val="center"/>
        </w:trPr>
        <w:tc>
          <w:tcPr>
            <w:tcW w:w="2405" w:type="dxa"/>
            <w:vAlign w:val="center"/>
          </w:tcPr>
          <w:p w14:paraId="0EA86666">
            <w:pPr>
              <w:spacing w:line="360" w:lineRule="exact"/>
              <w:jc w:val="center"/>
              <w:rPr>
                <w:rFonts w:hint="eastAsia" w:ascii="仿宋" w:hAnsi="仿宋" w:eastAsia="仿宋"/>
                <w:b/>
                <w:color w:val="auto"/>
                <w:kern w:val="0"/>
                <w:sz w:val="24"/>
                <w:szCs w:val="24"/>
              </w:rPr>
            </w:pPr>
            <w:r>
              <w:rPr>
                <w:rFonts w:ascii="仿宋" w:hAnsi="仿宋" w:eastAsia="仿宋"/>
                <w:b/>
                <w:color w:val="auto"/>
                <w:kern w:val="0"/>
                <w:sz w:val="24"/>
                <w:szCs w:val="24"/>
              </w:rPr>
              <w:t>项目名称</w:t>
            </w:r>
          </w:p>
        </w:tc>
        <w:tc>
          <w:tcPr>
            <w:tcW w:w="11632" w:type="dxa"/>
            <w:gridSpan w:val="3"/>
            <w:vAlign w:val="center"/>
          </w:tcPr>
          <w:p w14:paraId="6D6D17FA">
            <w:pPr>
              <w:spacing w:line="360" w:lineRule="exact"/>
              <w:jc w:val="center"/>
              <w:rPr>
                <w:rFonts w:hint="eastAsia" w:ascii="仿宋" w:hAnsi="仿宋" w:eastAsia="仿宋"/>
                <w:color w:val="auto"/>
                <w:kern w:val="0"/>
                <w:sz w:val="24"/>
                <w:szCs w:val="24"/>
              </w:rPr>
            </w:pPr>
            <w:r>
              <w:rPr>
                <w:rFonts w:hint="eastAsia" w:ascii="仿宋" w:hAnsi="仿宋" w:eastAsia="仿宋"/>
                <w:color w:val="auto"/>
                <w:kern w:val="0"/>
                <w:sz w:val="24"/>
                <w:szCs w:val="24"/>
              </w:rPr>
              <w:t>绿色低碳通算智融合关键技术及应用</w:t>
            </w:r>
          </w:p>
        </w:tc>
      </w:tr>
      <w:tr w14:paraId="1D0CB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1" w:hRule="atLeast"/>
          <w:jc w:val="center"/>
        </w:trPr>
        <w:tc>
          <w:tcPr>
            <w:tcW w:w="2405" w:type="dxa"/>
            <w:vAlign w:val="center"/>
          </w:tcPr>
          <w:p w14:paraId="170F7912">
            <w:pPr>
              <w:spacing w:line="360" w:lineRule="exact"/>
              <w:jc w:val="center"/>
              <w:rPr>
                <w:rFonts w:hint="eastAsia" w:ascii="仿宋" w:hAnsi="仿宋" w:eastAsia="仿宋"/>
                <w:b/>
                <w:color w:val="auto"/>
                <w:kern w:val="0"/>
                <w:sz w:val="24"/>
                <w:szCs w:val="24"/>
              </w:rPr>
            </w:pPr>
            <w:r>
              <w:rPr>
                <w:rFonts w:ascii="仿宋" w:hAnsi="仿宋" w:eastAsia="仿宋"/>
                <w:b/>
                <w:color w:val="auto"/>
                <w:kern w:val="0"/>
                <w:sz w:val="24"/>
                <w:szCs w:val="24"/>
              </w:rPr>
              <w:t>提名单位</w:t>
            </w:r>
            <w:r>
              <w:rPr>
                <w:rFonts w:hint="eastAsia" w:ascii="仿宋" w:hAnsi="仿宋" w:eastAsia="仿宋"/>
                <w:b/>
                <w:color w:val="auto"/>
                <w:kern w:val="0"/>
                <w:sz w:val="24"/>
                <w:szCs w:val="24"/>
              </w:rPr>
              <w:t>/提名专家</w:t>
            </w:r>
          </w:p>
        </w:tc>
        <w:tc>
          <w:tcPr>
            <w:tcW w:w="3882" w:type="dxa"/>
            <w:vAlign w:val="center"/>
          </w:tcPr>
          <w:p w14:paraId="47A45C97">
            <w:pPr>
              <w:spacing w:line="360" w:lineRule="exact"/>
              <w:jc w:val="center"/>
              <w:rPr>
                <w:rFonts w:hint="eastAsia" w:ascii="仿宋" w:hAnsi="仿宋" w:eastAsia="仿宋"/>
                <w:color w:val="auto"/>
                <w:kern w:val="0"/>
                <w:sz w:val="24"/>
                <w:szCs w:val="24"/>
              </w:rPr>
            </w:pPr>
            <w:r>
              <w:rPr>
                <w:rFonts w:hint="eastAsia" w:ascii="仿宋" w:hAnsi="仿宋" w:eastAsia="仿宋"/>
                <w:color w:val="auto"/>
                <w:kern w:val="0"/>
                <w:sz w:val="24"/>
                <w:szCs w:val="24"/>
              </w:rPr>
              <w:t>广西壮族自治区教育厅</w:t>
            </w:r>
          </w:p>
        </w:tc>
        <w:tc>
          <w:tcPr>
            <w:tcW w:w="1646" w:type="dxa"/>
            <w:vAlign w:val="center"/>
          </w:tcPr>
          <w:p w14:paraId="0780D76A">
            <w:pPr>
              <w:spacing w:line="400" w:lineRule="exact"/>
              <w:jc w:val="center"/>
              <w:rPr>
                <w:rFonts w:hint="eastAsia" w:ascii="仿宋" w:hAnsi="仿宋" w:eastAsia="仿宋"/>
                <w:b/>
                <w:color w:val="auto"/>
                <w:kern w:val="0"/>
                <w:sz w:val="24"/>
                <w:szCs w:val="24"/>
              </w:rPr>
            </w:pPr>
            <w:r>
              <w:rPr>
                <w:rFonts w:ascii="仿宋" w:hAnsi="仿宋" w:eastAsia="仿宋"/>
                <w:b/>
                <w:color w:val="auto"/>
                <w:kern w:val="0"/>
                <w:sz w:val="24"/>
                <w:szCs w:val="24"/>
              </w:rPr>
              <w:t>提名等级</w:t>
            </w:r>
          </w:p>
        </w:tc>
        <w:tc>
          <w:tcPr>
            <w:tcW w:w="6104" w:type="dxa"/>
            <w:vAlign w:val="center"/>
          </w:tcPr>
          <w:p w14:paraId="74D4A6B7">
            <w:pPr>
              <w:spacing w:line="360" w:lineRule="exact"/>
              <w:jc w:val="center"/>
              <w:rPr>
                <w:rFonts w:hint="eastAsia" w:ascii="仿宋" w:hAnsi="仿宋" w:eastAsia="仿宋"/>
                <w:b/>
                <w:color w:val="auto"/>
                <w:kern w:val="0"/>
                <w:sz w:val="24"/>
                <w:szCs w:val="24"/>
              </w:rPr>
            </w:pPr>
            <w:r>
              <w:rPr>
                <w:rFonts w:hint="eastAsia" w:ascii="仿宋" w:hAnsi="仿宋" w:eastAsia="仿宋"/>
                <w:bCs/>
                <w:color w:val="auto"/>
                <w:kern w:val="0"/>
                <w:sz w:val="24"/>
                <w:szCs w:val="24"/>
              </w:rPr>
              <w:t>一等奖</w:t>
            </w:r>
          </w:p>
        </w:tc>
      </w:tr>
      <w:tr w14:paraId="34E15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1" w:hRule="atLeast"/>
          <w:jc w:val="center"/>
        </w:trPr>
        <w:tc>
          <w:tcPr>
            <w:tcW w:w="2405" w:type="dxa"/>
            <w:vAlign w:val="center"/>
          </w:tcPr>
          <w:p w14:paraId="0BD2E3CA">
            <w:pPr>
              <w:spacing w:line="360" w:lineRule="exact"/>
              <w:jc w:val="center"/>
              <w:rPr>
                <w:rFonts w:hint="eastAsia" w:ascii="仿宋" w:hAnsi="仿宋" w:eastAsia="仿宋"/>
                <w:b/>
                <w:color w:val="auto"/>
                <w:kern w:val="0"/>
                <w:sz w:val="24"/>
                <w:szCs w:val="24"/>
              </w:rPr>
            </w:pPr>
            <w:r>
              <w:rPr>
                <w:rFonts w:hint="eastAsia" w:ascii="仿宋" w:hAnsi="仿宋" w:eastAsia="仿宋"/>
                <w:b/>
                <w:color w:val="auto"/>
                <w:kern w:val="0"/>
                <w:sz w:val="24"/>
                <w:szCs w:val="24"/>
              </w:rPr>
              <w:t>候选个人</w:t>
            </w:r>
          </w:p>
        </w:tc>
        <w:tc>
          <w:tcPr>
            <w:tcW w:w="11632" w:type="dxa"/>
            <w:gridSpan w:val="3"/>
            <w:shd w:val="clear" w:color="auto" w:fill="auto"/>
            <w:vAlign w:val="center"/>
          </w:tcPr>
          <w:p w14:paraId="3479849D">
            <w:pPr>
              <w:pStyle w:val="3"/>
              <w:spacing w:line="240" w:lineRule="auto"/>
              <w:ind w:firstLine="0" w:firstLineChars="0"/>
              <w:rPr>
                <w:rFonts w:ascii="仿宋" w:hAnsi="仿宋" w:eastAsia="仿宋"/>
                <w:bCs/>
                <w:color w:val="auto"/>
                <w:kern w:val="0"/>
                <w:szCs w:val="24"/>
              </w:rPr>
            </w:pPr>
            <w:r>
              <w:rPr>
                <w:rFonts w:hint="eastAsia" w:ascii="仿宋" w:hAnsi="仿宋" w:eastAsia="仿宋"/>
                <w:bCs/>
                <w:color w:val="auto"/>
                <w:kern w:val="0"/>
                <w:szCs w:val="24"/>
              </w:rPr>
              <w:t>葛晓虎，白琳，李晓记，钟磊，叶俊良，匡立伟，禹诚，杨庭，宁伟强，罗丽燕，林亮，李澍，陈励锋，王雪峰，万晖</w:t>
            </w:r>
          </w:p>
        </w:tc>
      </w:tr>
      <w:tr w14:paraId="09032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1" w:hRule="atLeast"/>
          <w:jc w:val="center"/>
        </w:trPr>
        <w:tc>
          <w:tcPr>
            <w:tcW w:w="2405" w:type="dxa"/>
            <w:vAlign w:val="center"/>
          </w:tcPr>
          <w:p w14:paraId="44176052">
            <w:pPr>
              <w:spacing w:line="360" w:lineRule="exact"/>
              <w:jc w:val="center"/>
              <w:rPr>
                <w:rFonts w:hint="eastAsia" w:ascii="仿宋" w:hAnsi="仿宋" w:eastAsia="仿宋"/>
                <w:b/>
                <w:color w:val="auto"/>
                <w:kern w:val="0"/>
                <w:sz w:val="24"/>
                <w:szCs w:val="24"/>
              </w:rPr>
            </w:pPr>
            <w:r>
              <w:rPr>
                <w:rFonts w:hint="eastAsia" w:ascii="仿宋" w:hAnsi="仿宋" w:eastAsia="仿宋"/>
                <w:b/>
                <w:color w:val="auto"/>
                <w:kern w:val="0"/>
                <w:sz w:val="24"/>
                <w:szCs w:val="24"/>
              </w:rPr>
              <w:t>候选组织</w:t>
            </w:r>
          </w:p>
        </w:tc>
        <w:tc>
          <w:tcPr>
            <w:tcW w:w="11632" w:type="dxa"/>
            <w:gridSpan w:val="3"/>
            <w:shd w:val="clear" w:color="auto" w:fill="auto"/>
            <w:vAlign w:val="center"/>
          </w:tcPr>
          <w:p w14:paraId="4FD71310">
            <w:pPr>
              <w:pStyle w:val="3"/>
              <w:spacing w:line="240" w:lineRule="auto"/>
              <w:ind w:firstLine="0" w:firstLineChars="0"/>
              <w:rPr>
                <w:rFonts w:ascii="仿宋" w:hAnsi="仿宋" w:eastAsia="仿宋"/>
                <w:bCs/>
                <w:color w:val="auto"/>
                <w:kern w:val="0"/>
                <w:szCs w:val="24"/>
              </w:rPr>
            </w:pPr>
            <w:r>
              <w:rPr>
                <w:rFonts w:hint="eastAsia" w:ascii="仿宋" w:hAnsi="仿宋" w:eastAsia="仿宋"/>
                <w:bCs/>
                <w:color w:val="auto"/>
                <w:kern w:val="0"/>
                <w:szCs w:val="24"/>
              </w:rPr>
              <w:t>广西大学，华中科技大学，桂林电子科技大学，中国移动通信集团广西有限公司，烽火通信科技股份有限公司，武汉城市职业学院，湖北华中电力科技开发有限责任公司，润建股份有限公司</w:t>
            </w:r>
          </w:p>
        </w:tc>
      </w:tr>
      <w:tr w14:paraId="7E2F3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47" w:hRule="atLeast"/>
          <w:jc w:val="center"/>
        </w:trPr>
        <w:tc>
          <w:tcPr>
            <w:tcW w:w="2405" w:type="dxa"/>
            <w:vAlign w:val="center"/>
          </w:tcPr>
          <w:p w14:paraId="5A1C78C2">
            <w:pPr>
              <w:spacing w:line="400" w:lineRule="exact"/>
              <w:jc w:val="center"/>
              <w:rPr>
                <w:rFonts w:hint="eastAsia" w:ascii="仿宋" w:hAnsi="仿宋" w:eastAsia="仿宋"/>
                <w:b/>
                <w:color w:val="auto"/>
                <w:kern w:val="0"/>
                <w:sz w:val="24"/>
                <w:szCs w:val="24"/>
              </w:rPr>
            </w:pPr>
            <w:r>
              <w:rPr>
                <w:rFonts w:hint="eastAsia" w:ascii="仿宋" w:hAnsi="仿宋" w:eastAsia="仿宋"/>
                <w:b/>
                <w:color w:val="auto"/>
                <w:kern w:val="0"/>
                <w:sz w:val="24"/>
                <w:szCs w:val="24"/>
              </w:rPr>
              <w:t>项目简介</w:t>
            </w:r>
          </w:p>
        </w:tc>
        <w:tc>
          <w:tcPr>
            <w:tcW w:w="11632" w:type="dxa"/>
            <w:gridSpan w:val="3"/>
            <w:vAlign w:val="center"/>
          </w:tcPr>
          <w:p w14:paraId="758C51AE">
            <w:pPr>
              <w:pStyle w:val="3"/>
              <w:spacing w:line="360" w:lineRule="exact"/>
              <w:rPr>
                <w:rFonts w:hint="eastAsia" w:ascii="仿宋" w:hAnsi="仿宋" w:eastAsia="仿宋"/>
                <w:bCs/>
                <w:color w:val="auto"/>
                <w:kern w:val="0"/>
                <w:szCs w:val="24"/>
              </w:rPr>
            </w:pPr>
            <w:r>
              <w:rPr>
                <w:rFonts w:hint="eastAsia" w:ascii="仿宋" w:hAnsi="仿宋" w:eastAsia="仿宋"/>
                <w:bCs/>
                <w:color w:val="auto"/>
                <w:kern w:val="0"/>
                <w:szCs w:val="24"/>
              </w:rPr>
              <w:t>低碳高能效通信网络是国家推进双碳战略与新一代信息技术融合应用支撑点。中国在4G/5G通信技术上的突破使我国成为全球最大同时增长最快的移动通信市场，这也使我国成为全球唯一碳排放快速增长的主要移动通信市场，西方发达国家持续以中国通信网络碳排放快速增长为由从国际道德角度绑架和束缚我国通信网络产业发展，我国通信行业面临向低碳可持续发展产业转型压力，解决通信网络低碳高能效稳定运行问题是我国通信产业打破国外技术和市场封锁的关键挑战。</w:t>
            </w:r>
          </w:p>
          <w:p w14:paraId="5D2DACBC">
            <w:pPr>
              <w:pStyle w:val="3"/>
              <w:spacing w:line="360" w:lineRule="exact"/>
              <w:rPr>
                <w:rFonts w:hint="eastAsia" w:ascii="仿宋" w:hAnsi="仿宋" w:eastAsia="仿宋"/>
                <w:bCs/>
                <w:color w:val="auto"/>
                <w:kern w:val="0"/>
                <w:szCs w:val="24"/>
              </w:rPr>
            </w:pPr>
            <w:r>
              <w:rPr>
                <w:rFonts w:hint="eastAsia" w:ascii="仿宋" w:hAnsi="仿宋" w:eastAsia="仿宋"/>
                <w:bCs/>
                <w:color w:val="auto"/>
                <w:kern w:val="0"/>
                <w:szCs w:val="24"/>
              </w:rPr>
              <w:t>本项目依托重大专项、重点研发和国基金重大项目，历经8年产学研用合作，突破异构融合虚拟切片网络构架、光伏能量流与信息流融合调度、云平台不完备大数据填补等技术瓶颈，研发低碳高能效异构网络智能运维系统并产业化应用，在一带一路国家形成大规模产品及技术成套出口，突破了国外技术和市场封锁。</w:t>
            </w:r>
          </w:p>
          <w:p w14:paraId="5C78DFA3">
            <w:pPr>
              <w:pStyle w:val="3"/>
              <w:spacing w:line="360" w:lineRule="exact"/>
              <w:rPr>
                <w:rFonts w:hint="eastAsia" w:ascii="仿宋" w:hAnsi="仿宋" w:eastAsia="仿宋"/>
                <w:bCs/>
                <w:color w:val="auto"/>
                <w:kern w:val="0"/>
                <w:szCs w:val="24"/>
              </w:rPr>
            </w:pPr>
            <w:r>
              <w:rPr>
                <w:rFonts w:hint="eastAsia" w:ascii="仿宋" w:hAnsi="仿宋" w:eastAsia="仿宋"/>
                <w:bCs/>
                <w:color w:val="auto"/>
                <w:kern w:val="0"/>
                <w:szCs w:val="24"/>
              </w:rPr>
              <w:t>1.创立蜂窝与WiFi异构网络虚拟切片融合构架。首次阐明业务解耦下异构网络资源调度机理，解决了传统蜂窝信号切换到WiFi信号时延大和蜂窝网信号穿墙损耗大的问题，异构网络融合架构能耗较传统蜂窝网络能耗降低了30%以上，应用到家庭组网终端并销售超5000万套，获2024年中国通信学会科学技术一等奖。</w:t>
            </w:r>
          </w:p>
          <w:p w14:paraId="19D2F32D">
            <w:pPr>
              <w:pStyle w:val="3"/>
              <w:spacing w:line="360" w:lineRule="exact"/>
              <w:rPr>
                <w:rFonts w:hint="eastAsia" w:ascii="仿宋" w:hAnsi="仿宋" w:eastAsia="仿宋"/>
                <w:bCs/>
                <w:color w:val="auto"/>
                <w:kern w:val="0"/>
                <w:szCs w:val="24"/>
              </w:rPr>
            </w:pPr>
            <w:r>
              <w:rPr>
                <w:rFonts w:hint="eastAsia" w:ascii="仿宋" w:hAnsi="仿宋" w:eastAsia="仿宋"/>
                <w:bCs/>
                <w:color w:val="auto"/>
                <w:kern w:val="0"/>
                <w:szCs w:val="24"/>
              </w:rPr>
              <w:t>2.突破分布式光伏能量流与基站信息流融合调度技术。首次基于㶲平衡理论将网络流量与光伏能量时空分布适配优化，解决了网络流量与分布式光伏能量调度之间的㶲损最小化难题，实现通信网络碳排放效率提升7.1倍，是现有国内外报道的最高水平，保障联通公司现网低碳高能效稳定运行，获2023年世界互联网大会领先科技奖。</w:t>
            </w:r>
          </w:p>
          <w:p w14:paraId="796129BE">
            <w:pPr>
              <w:pStyle w:val="3"/>
              <w:spacing w:line="360" w:lineRule="exact"/>
              <w:rPr>
                <w:rFonts w:hint="eastAsia" w:ascii="仿宋" w:hAnsi="仿宋" w:eastAsia="仿宋"/>
                <w:bCs/>
                <w:color w:val="auto"/>
                <w:kern w:val="0"/>
                <w:szCs w:val="24"/>
              </w:rPr>
            </w:pPr>
            <w:r>
              <w:rPr>
                <w:rFonts w:hint="eastAsia" w:ascii="仿宋" w:hAnsi="仿宋" w:eastAsia="仿宋"/>
                <w:bCs/>
                <w:color w:val="auto"/>
                <w:kern w:val="0"/>
                <w:szCs w:val="24"/>
              </w:rPr>
              <w:t>3.攻克多源异构运维大数据高效能处理方法。利用去偏对比学习增强多模态数据抽取，解决了异构运维大数据感知难题，并通过启发式特征约简及离散弱相关数据并行分析技术节省计算能耗15%以上，规模应用于联通公司通信网络服务器，创新技术获华为公司火花奖。</w:t>
            </w:r>
          </w:p>
          <w:p w14:paraId="07555547">
            <w:pPr>
              <w:pStyle w:val="3"/>
              <w:spacing w:line="360" w:lineRule="exact"/>
              <w:rPr>
                <w:rFonts w:hint="eastAsia" w:ascii="仿宋" w:hAnsi="仿宋" w:eastAsia="仿宋"/>
                <w:bCs/>
                <w:color w:val="auto"/>
                <w:kern w:val="0"/>
                <w:szCs w:val="24"/>
              </w:rPr>
            </w:pPr>
            <w:r>
              <w:rPr>
                <w:rFonts w:hint="eastAsia" w:ascii="仿宋" w:hAnsi="仿宋" w:eastAsia="仿宋"/>
                <w:bCs/>
                <w:color w:val="auto"/>
                <w:kern w:val="0"/>
                <w:szCs w:val="24"/>
              </w:rPr>
              <w:t>4.构建低碳高能效异构网络智能运维系统与技术体系。独创了一种基于多源多维特征融合的高能耗故障预测技术，通过智能化手段提前预测和快速处理网络故障导致高能耗的问题，形成低碳高能效异构通信网络接入、组网、运维数据监测和维护技术体系，在国内现网大规模应用并在一带一路国家实现产品和技术成套出口，被商务部评为技术贸易创新实践案例并获2023年全球电信管理论坛杰出贡献奖。</w:t>
            </w:r>
          </w:p>
          <w:p w14:paraId="68CC3C39">
            <w:pPr>
              <w:pStyle w:val="3"/>
              <w:spacing w:line="360" w:lineRule="exact"/>
              <w:rPr>
                <w:rFonts w:ascii="仿宋" w:hAnsi="仿宋" w:eastAsia="仿宋"/>
                <w:bCs/>
                <w:color w:val="auto"/>
                <w:kern w:val="0"/>
                <w:szCs w:val="24"/>
              </w:rPr>
            </w:pPr>
            <w:r>
              <w:rPr>
                <w:rFonts w:hint="eastAsia" w:ascii="仿宋" w:hAnsi="仿宋" w:eastAsia="仿宋"/>
                <w:bCs/>
                <w:color w:val="auto"/>
                <w:kern w:val="0"/>
                <w:szCs w:val="24"/>
              </w:rPr>
              <w:t>授权发明专利253项，2项获得中国专利银奖，获批国际电信联盟标准43项，GB/T国家标准39项，行业标准65项；获批软件著作权4项；2022年IET全球工程技术创新奖。本项目产品销往100多个国家和地区，用户规模占国内市场份额 37.4%。成果应用于“东数西算”和“西电东送”等国家重大工程，支撑DeepSeek大模型在电信营运商智算中心应用。本项目近3年企业新增销售额超过302亿元，间接经济效益超千亿元。</w:t>
            </w:r>
          </w:p>
        </w:tc>
      </w:tr>
    </w:tbl>
    <w:p w14:paraId="09DB34F0">
      <w:pPr>
        <w:jc w:val="center"/>
        <w:rPr>
          <w:rFonts w:hint="eastAsia" w:ascii="仿宋" w:hAnsi="仿宋" w:eastAsia="仿宋"/>
          <w:b/>
          <w:bCs/>
          <w:color w:val="auto"/>
        </w:rPr>
      </w:pPr>
    </w:p>
    <w:p w14:paraId="398A98A1">
      <w:pPr>
        <w:widowControl w:val="0"/>
        <w:adjustRightInd w:val="0"/>
        <w:snapToGrid w:val="0"/>
        <w:spacing w:line="406" w:lineRule="exact"/>
        <w:jc w:val="center"/>
        <w:rPr>
          <w:rFonts w:hint="eastAsia" w:ascii="仿宋" w:hAnsi="仿宋" w:eastAsia="仿宋"/>
          <w:b/>
          <w:snapToGrid w:val="0"/>
          <w:color w:val="auto"/>
          <w:szCs w:val="32"/>
        </w:rPr>
      </w:pPr>
      <w:r>
        <w:rPr>
          <w:rFonts w:hint="eastAsia" w:ascii="仿宋" w:hAnsi="仿宋" w:eastAsia="仿宋"/>
          <w:b/>
          <w:snapToGrid w:val="0"/>
          <w:color w:val="auto"/>
          <w:szCs w:val="32"/>
        </w:rPr>
        <w:t>一</w:t>
      </w:r>
      <w:r>
        <w:rPr>
          <w:rFonts w:ascii="仿宋" w:hAnsi="仿宋" w:eastAsia="仿宋"/>
          <w:b/>
          <w:snapToGrid w:val="0"/>
          <w:color w:val="auto"/>
          <w:szCs w:val="32"/>
        </w:rPr>
        <w:t>、主要知识产权和标准规范目录（不超过12件）</w:t>
      </w:r>
    </w:p>
    <w:p w14:paraId="150E303B">
      <w:pPr>
        <w:widowControl w:val="0"/>
        <w:adjustRightInd w:val="0"/>
        <w:snapToGrid w:val="0"/>
        <w:spacing w:after="156" w:afterLines="50" w:line="406" w:lineRule="exact"/>
        <w:jc w:val="center"/>
        <w:rPr>
          <w:rFonts w:hint="eastAsia" w:ascii="仿宋" w:hAnsi="仿宋" w:eastAsia="仿宋"/>
          <w:b/>
          <w:snapToGrid w:val="0"/>
          <w:color w:val="auto"/>
          <w:szCs w:val="32"/>
        </w:rPr>
      </w:pPr>
      <w:r>
        <w:rPr>
          <w:rFonts w:ascii="仿宋" w:hAnsi="仿宋" w:eastAsia="仿宋"/>
          <w:b/>
          <w:snapToGrid w:val="0"/>
          <w:color w:val="auto"/>
          <w:szCs w:val="32"/>
        </w:rPr>
        <w:t>（适用于产业创新类、社会公益类）</w:t>
      </w:r>
    </w:p>
    <w:tbl>
      <w:tblPr>
        <w:tblStyle w:val="7"/>
        <w:tblW w:w="1407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28" w:type="dxa"/>
          <w:left w:w="28" w:type="dxa"/>
          <w:bottom w:w="28" w:type="dxa"/>
          <w:right w:w="28" w:type="dxa"/>
        </w:tblCellMar>
      </w:tblPr>
      <w:tblGrid>
        <w:gridCol w:w="557"/>
        <w:gridCol w:w="709"/>
        <w:gridCol w:w="2003"/>
        <w:gridCol w:w="1195"/>
        <w:gridCol w:w="684"/>
        <w:gridCol w:w="2437"/>
        <w:gridCol w:w="2328"/>
        <w:gridCol w:w="1134"/>
        <w:gridCol w:w="1276"/>
        <w:gridCol w:w="1134"/>
        <w:gridCol w:w="618"/>
      </w:tblGrid>
      <w:tr w14:paraId="5FF832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680" w:hRule="atLeast"/>
          <w:jc w:val="center"/>
        </w:trPr>
        <w:tc>
          <w:tcPr>
            <w:tcW w:w="557" w:type="dxa"/>
            <w:tcBorders>
              <w:top w:val="single" w:color="auto" w:sz="8" w:space="0"/>
              <w:left w:val="single" w:color="auto" w:sz="8" w:space="0"/>
              <w:bottom w:val="single" w:color="auto" w:sz="4" w:space="0"/>
              <w:right w:val="single" w:color="auto" w:sz="4" w:space="0"/>
            </w:tcBorders>
            <w:tcMar>
              <w:top w:w="0" w:type="dxa"/>
              <w:left w:w="57" w:type="dxa"/>
              <w:bottom w:w="0" w:type="dxa"/>
              <w:right w:w="57" w:type="dxa"/>
            </w:tcMar>
            <w:vAlign w:val="center"/>
          </w:tcPr>
          <w:p w14:paraId="5C5D15CF">
            <w:pPr>
              <w:widowControl w:val="0"/>
              <w:adjustRightInd w:val="0"/>
              <w:snapToGrid w:val="0"/>
              <w:spacing w:line="280" w:lineRule="exact"/>
              <w:jc w:val="center"/>
              <w:rPr>
                <w:rFonts w:eastAsia="方正黑体_GBK"/>
                <w:b/>
                <w:snapToGrid w:val="0"/>
                <w:color w:val="auto"/>
                <w:sz w:val="18"/>
                <w:szCs w:val="18"/>
              </w:rPr>
            </w:pPr>
            <w:r>
              <w:rPr>
                <w:rFonts w:eastAsia="方正黑体_GBK"/>
                <w:b/>
                <w:snapToGrid w:val="0"/>
                <w:color w:val="auto"/>
                <w:sz w:val="18"/>
                <w:szCs w:val="18"/>
              </w:rPr>
              <w:t>排序</w:t>
            </w:r>
          </w:p>
        </w:tc>
        <w:tc>
          <w:tcPr>
            <w:tcW w:w="709" w:type="dxa"/>
            <w:tcBorders>
              <w:top w:val="single" w:color="auto" w:sz="8" w:space="0"/>
              <w:left w:val="single" w:color="auto" w:sz="4" w:space="0"/>
              <w:bottom w:val="single" w:color="auto" w:sz="4" w:space="0"/>
              <w:right w:val="single" w:color="auto" w:sz="4" w:space="0"/>
            </w:tcBorders>
            <w:tcMar>
              <w:top w:w="0" w:type="dxa"/>
              <w:left w:w="57" w:type="dxa"/>
              <w:bottom w:w="0" w:type="dxa"/>
              <w:right w:w="57" w:type="dxa"/>
            </w:tcMar>
            <w:vAlign w:val="center"/>
          </w:tcPr>
          <w:p w14:paraId="7A1A7FE3">
            <w:pPr>
              <w:widowControl w:val="0"/>
              <w:adjustRightInd w:val="0"/>
              <w:snapToGrid w:val="0"/>
              <w:spacing w:line="280" w:lineRule="exact"/>
              <w:jc w:val="center"/>
              <w:rPr>
                <w:rFonts w:eastAsia="方正黑体_GBK"/>
                <w:b/>
                <w:snapToGrid w:val="0"/>
                <w:color w:val="auto"/>
                <w:sz w:val="18"/>
                <w:szCs w:val="18"/>
              </w:rPr>
            </w:pPr>
            <w:r>
              <w:rPr>
                <w:rFonts w:eastAsia="方正黑体_GBK"/>
                <w:b/>
                <w:snapToGrid w:val="0"/>
                <w:color w:val="auto"/>
                <w:sz w:val="18"/>
                <w:szCs w:val="18"/>
              </w:rPr>
              <w:t>类型</w:t>
            </w:r>
          </w:p>
        </w:tc>
        <w:tc>
          <w:tcPr>
            <w:tcW w:w="2003" w:type="dxa"/>
            <w:tcBorders>
              <w:top w:val="single" w:color="auto" w:sz="8" w:space="0"/>
              <w:left w:val="single" w:color="auto" w:sz="4" w:space="0"/>
              <w:bottom w:val="single" w:color="auto" w:sz="4" w:space="0"/>
              <w:right w:val="single" w:color="auto" w:sz="4" w:space="0"/>
            </w:tcBorders>
            <w:tcMar>
              <w:top w:w="0" w:type="dxa"/>
              <w:left w:w="57" w:type="dxa"/>
              <w:bottom w:w="0" w:type="dxa"/>
              <w:right w:w="57" w:type="dxa"/>
            </w:tcMar>
            <w:vAlign w:val="center"/>
          </w:tcPr>
          <w:p w14:paraId="65A91190">
            <w:pPr>
              <w:widowControl w:val="0"/>
              <w:adjustRightInd w:val="0"/>
              <w:snapToGrid w:val="0"/>
              <w:spacing w:line="280" w:lineRule="exact"/>
              <w:jc w:val="center"/>
              <w:rPr>
                <w:rFonts w:eastAsia="方正黑体_GBK"/>
                <w:b/>
                <w:snapToGrid w:val="0"/>
                <w:color w:val="auto"/>
                <w:sz w:val="18"/>
                <w:szCs w:val="18"/>
              </w:rPr>
            </w:pPr>
            <w:r>
              <w:rPr>
                <w:rFonts w:eastAsia="方正黑体_GBK"/>
                <w:b/>
                <w:snapToGrid w:val="0"/>
                <w:color w:val="auto"/>
                <w:sz w:val="18"/>
                <w:szCs w:val="18"/>
              </w:rPr>
              <w:t>成果名称</w:t>
            </w:r>
          </w:p>
        </w:tc>
        <w:tc>
          <w:tcPr>
            <w:tcW w:w="1195" w:type="dxa"/>
            <w:tcBorders>
              <w:top w:val="single" w:color="auto" w:sz="8" w:space="0"/>
              <w:left w:val="single" w:color="auto" w:sz="4" w:space="0"/>
              <w:bottom w:val="single" w:color="auto" w:sz="4" w:space="0"/>
              <w:right w:val="single" w:color="auto" w:sz="4" w:space="0"/>
            </w:tcBorders>
            <w:tcMar>
              <w:top w:w="0" w:type="dxa"/>
              <w:left w:w="57" w:type="dxa"/>
              <w:bottom w:w="0" w:type="dxa"/>
              <w:right w:w="57" w:type="dxa"/>
            </w:tcMar>
            <w:vAlign w:val="center"/>
          </w:tcPr>
          <w:p w14:paraId="2213A2F2">
            <w:pPr>
              <w:widowControl w:val="0"/>
              <w:adjustRightInd w:val="0"/>
              <w:snapToGrid w:val="0"/>
              <w:spacing w:line="280" w:lineRule="exact"/>
              <w:jc w:val="center"/>
              <w:rPr>
                <w:rFonts w:eastAsia="方正黑体_GBK"/>
                <w:b/>
                <w:snapToGrid w:val="0"/>
                <w:color w:val="auto"/>
                <w:sz w:val="18"/>
                <w:szCs w:val="18"/>
              </w:rPr>
            </w:pPr>
            <w:r>
              <w:rPr>
                <w:rFonts w:eastAsia="方正黑体_GBK"/>
                <w:b/>
                <w:snapToGrid w:val="0"/>
                <w:color w:val="auto"/>
                <w:sz w:val="18"/>
                <w:szCs w:val="18"/>
              </w:rPr>
              <w:t>编号（年卷页；版号）</w:t>
            </w:r>
          </w:p>
        </w:tc>
        <w:tc>
          <w:tcPr>
            <w:tcW w:w="684" w:type="dxa"/>
            <w:tcBorders>
              <w:top w:val="single" w:color="auto" w:sz="8" w:space="0"/>
              <w:left w:val="single" w:color="auto" w:sz="4" w:space="0"/>
              <w:bottom w:val="single" w:color="auto" w:sz="4" w:space="0"/>
              <w:right w:val="single" w:color="auto" w:sz="4" w:space="0"/>
            </w:tcBorders>
            <w:tcMar>
              <w:top w:w="0" w:type="dxa"/>
              <w:left w:w="57" w:type="dxa"/>
              <w:bottom w:w="0" w:type="dxa"/>
              <w:right w:w="57" w:type="dxa"/>
            </w:tcMar>
            <w:vAlign w:val="center"/>
          </w:tcPr>
          <w:p w14:paraId="665EEB63">
            <w:pPr>
              <w:widowControl w:val="0"/>
              <w:adjustRightInd w:val="0"/>
              <w:snapToGrid w:val="0"/>
              <w:spacing w:line="280" w:lineRule="exact"/>
              <w:jc w:val="center"/>
              <w:rPr>
                <w:rFonts w:eastAsia="方正黑体_GBK"/>
                <w:b/>
                <w:snapToGrid w:val="0"/>
                <w:color w:val="auto"/>
                <w:sz w:val="18"/>
                <w:szCs w:val="18"/>
              </w:rPr>
            </w:pPr>
            <w:r>
              <w:rPr>
                <w:rFonts w:eastAsia="方正黑体_GBK"/>
                <w:b/>
                <w:snapToGrid w:val="0"/>
                <w:color w:val="auto"/>
                <w:sz w:val="18"/>
                <w:szCs w:val="18"/>
              </w:rPr>
              <w:t>授权发布日期</w:t>
            </w:r>
          </w:p>
        </w:tc>
        <w:tc>
          <w:tcPr>
            <w:tcW w:w="2437" w:type="dxa"/>
            <w:tcBorders>
              <w:top w:val="single" w:color="auto" w:sz="8" w:space="0"/>
              <w:left w:val="single" w:color="auto" w:sz="4" w:space="0"/>
              <w:bottom w:val="single" w:color="auto" w:sz="4" w:space="0"/>
              <w:right w:val="single" w:color="auto" w:sz="4" w:space="0"/>
            </w:tcBorders>
            <w:tcMar>
              <w:top w:w="0" w:type="dxa"/>
              <w:left w:w="57" w:type="dxa"/>
              <w:bottom w:w="0" w:type="dxa"/>
              <w:right w:w="57" w:type="dxa"/>
            </w:tcMar>
            <w:vAlign w:val="center"/>
          </w:tcPr>
          <w:p w14:paraId="62792E1F">
            <w:pPr>
              <w:widowControl w:val="0"/>
              <w:adjustRightInd w:val="0"/>
              <w:snapToGrid w:val="0"/>
              <w:spacing w:line="280" w:lineRule="exact"/>
              <w:jc w:val="center"/>
              <w:rPr>
                <w:rFonts w:eastAsia="方正黑体_GBK"/>
                <w:b/>
                <w:snapToGrid w:val="0"/>
                <w:color w:val="auto"/>
                <w:sz w:val="18"/>
                <w:szCs w:val="18"/>
              </w:rPr>
            </w:pPr>
            <w:r>
              <w:rPr>
                <w:rFonts w:eastAsia="方正黑体_GBK"/>
                <w:b/>
                <w:snapToGrid w:val="0"/>
                <w:color w:val="auto"/>
                <w:sz w:val="18"/>
                <w:szCs w:val="18"/>
              </w:rPr>
              <w:t>完成人</w:t>
            </w:r>
          </w:p>
          <w:p w14:paraId="5DEB5073">
            <w:pPr>
              <w:widowControl w:val="0"/>
              <w:adjustRightInd w:val="0"/>
              <w:snapToGrid w:val="0"/>
              <w:spacing w:line="280" w:lineRule="exact"/>
              <w:jc w:val="center"/>
              <w:rPr>
                <w:rFonts w:eastAsia="方正黑体_GBK"/>
                <w:b/>
                <w:snapToGrid w:val="0"/>
                <w:color w:val="auto"/>
                <w:sz w:val="18"/>
                <w:szCs w:val="18"/>
              </w:rPr>
            </w:pPr>
            <w:r>
              <w:rPr>
                <w:rFonts w:eastAsia="方正黑体_GBK"/>
                <w:b/>
                <w:snapToGrid w:val="0"/>
                <w:color w:val="auto"/>
                <w:sz w:val="18"/>
                <w:szCs w:val="18"/>
              </w:rPr>
              <w:t>（作者）</w:t>
            </w:r>
          </w:p>
        </w:tc>
        <w:tc>
          <w:tcPr>
            <w:tcW w:w="2328" w:type="dxa"/>
            <w:tcBorders>
              <w:top w:val="single" w:color="auto" w:sz="8" w:space="0"/>
              <w:left w:val="single" w:color="auto" w:sz="4" w:space="0"/>
              <w:bottom w:val="single" w:color="auto" w:sz="4" w:space="0"/>
              <w:right w:val="single" w:color="auto" w:sz="4" w:space="0"/>
            </w:tcBorders>
            <w:tcMar>
              <w:top w:w="0" w:type="dxa"/>
              <w:left w:w="57" w:type="dxa"/>
              <w:bottom w:w="0" w:type="dxa"/>
              <w:right w:w="57" w:type="dxa"/>
            </w:tcMar>
            <w:vAlign w:val="center"/>
          </w:tcPr>
          <w:p w14:paraId="277A28EA">
            <w:pPr>
              <w:widowControl w:val="0"/>
              <w:adjustRightInd w:val="0"/>
              <w:snapToGrid w:val="0"/>
              <w:spacing w:line="280" w:lineRule="exact"/>
              <w:jc w:val="center"/>
              <w:rPr>
                <w:rFonts w:eastAsia="方正黑体_GBK"/>
                <w:b/>
                <w:snapToGrid w:val="0"/>
                <w:color w:val="auto"/>
                <w:sz w:val="18"/>
                <w:szCs w:val="18"/>
              </w:rPr>
            </w:pPr>
            <w:r>
              <w:rPr>
                <w:rFonts w:eastAsia="方正黑体_GBK"/>
                <w:b/>
                <w:snapToGrid w:val="0"/>
                <w:color w:val="auto"/>
                <w:sz w:val="18"/>
                <w:szCs w:val="18"/>
              </w:rPr>
              <w:t>完成单位</w:t>
            </w:r>
          </w:p>
          <w:p w14:paraId="14806A62">
            <w:pPr>
              <w:widowControl w:val="0"/>
              <w:adjustRightInd w:val="0"/>
              <w:snapToGrid w:val="0"/>
              <w:spacing w:line="280" w:lineRule="exact"/>
              <w:jc w:val="center"/>
              <w:rPr>
                <w:rFonts w:eastAsia="方正黑体_GBK"/>
                <w:b/>
                <w:snapToGrid w:val="0"/>
                <w:color w:val="auto"/>
                <w:sz w:val="18"/>
                <w:szCs w:val="18"/>
              </w:rPr>
            </w:pPr>
            <w:r>
              <w:rPr>
                <w:rFonts w:eastAsia="方正黑体_GBK"/>
                <w:b/>
                <w:snapToGrid w:val="0"/>
                <w:color w:val="auto"/>
                <w:sz w:val="18"/>
                <w:szCs w:val="18"/>
              </w:rPr>
              <w:t>（署名单位）</w:t>
            </w:r>
          </w:p>
        </w:tc>
        <w:tc>
          <w:tcPr>
            <w:tcW w:w="1134" w:type="dxa"/>
            <w:tcBorders>
              <w:top w:val="single" w:color="auto" w:sz="8" w:space="0"/>
              <w:left w:val="single" w:color="auto" w:sz="4" w:space="0"/>
              <w:bottom w:val="single" w:color="auto" w:sz="4" w:space="0"/>
              <w:right w:val="single" w:color="auto" w:sz="4" w:space="0"/>
            </w:tcBorders>
            <w:tcMar>
              <w:top w:w="0" w:type="dxa"/>
              <w:left w:w="57" w:type="dxa"/>
              <w:bottom w:w="0" w:type="dxa"/>
              <w:right w:w="57" w:type="dxa"/>
            </w:tcMar>
            <w:vAlign w:val="center"/>
          </w:tcPr>
          <w:p w14:paraId="1D7DEF1F">
            <w:pPr>
              <w:widowControl w:val="0"/>
              <w:adjustRightInd w:val="0"/>
              <w:snapToGrid w:val="0"/>
              <w:spacing w:line="280" w:lineRule="exact"/>
              <w:jc w:val="center"/>
              <w:rPr>
                <w:rFonts w:eastAsia="方正黑体_GBK"/>
                <w:b/>
                <w:snapToGrid w:val="0"/>
                <w:color w:val="auto"/>
                <w:sz w:val="18"/>
                <w:szCs w:val="18"/>
              </w:rPr>
            </w:pPr>
            <w:r>
              <w:rPr>
                <w:rFonts w:eastAsia="方正黑体_GBK"/>
                <w:b/>
                <w:snapToGrid w:val="0"/>
                <w:color w:val="auto"/>
                <w:sz w:val="18"/>
                <w:szCs w:val="18"/>
              </w:rPr>
              <w:t>授权发布部门（刊名）</w:t>
            </w:r>
          </w:p>
        </w:tc>
        <w:tc>
          <w:tcPr>
            <w:tcW w:w="1276" w:type="dxa"/>
            <w:tcBorders>
              <w:top w:val="single" w:color="auto" w:sz="8" w:space="0"/>
              <w:left w:val="single" w:color="auto" w:sz="4" w:space="0"/>
              <w:bottom w:val="single" w:color="auto" w:sz="4" w:space="0"/>
              <w:right w:val="single" w:color="auto" w:sz="4" w:space="0"/>
            </w:tcBorders>
            <w:tcMar>
              <w:top w:w="0" w:type="dxa"/>
              <w:left w:w="57" w:type="dxa"/>
              <w:bottom w:w="0" w:type="dxa"/>
              <w:right w:w="57" w:type="dxa"/>
            </w:tcMar>
            <w:vAlign w:val="center"/>
          </w:tcPr>
          <w:p w14:paraId="034B309D">
            <w:pPr>
              <w:widowControl w:val="0"/>
              <w:adjustRightInd w:val="0"/>
              <w:snapToGrid w:val="0"/>
              <w:spacing w:line="280" w:lineRule="exact"/>
              <w:jc w:val="center"/>
              <w:rPr>
                <w:rFonts w:eastAsia="方正黑体_GBK"/>
                <w:b/>
                <w:snapToGrid w:val="0"/>
                <w:color w:val="auto"/>
                <w:sz w:val="18"/>
                <w:szCs w:val="18"/>
              </w:rPr>
            </w:pPr>
            <w:r>
              <w:rPr>
                <w:rFonts w:eastAsia="方正黑体_GBK"/>
                <w:b/>
                <w:snapToGrid w:val="0"/>
                <w:color w:val="auto"/>
                <w:sz w:val="18"/>
                <w:szCs w:val="18"/>
              </w:rPr>
              <w:t>成果状态（通讯作者）</w:t>
            </w:r>
          </w:p>
        </w:tc>
        <w:tc>
          <w:tcPr>
            <w:tcW w:w="1134" w:type="dxa"/>
            <w:tcBorders>
              <w:top w:val="single" w:color="auto" w:sz="8" w:space="0"/>
              <w:left w:val="single" w:color="auto" w:sz="4" w:space="0"/>
              <w:bottom w:val="single" w:color="auto" w:sz="4" w:space="0"/>
              <w:right w:val="single" w:color="auto" w:sz="4" w:space="0"/>
            </w:tcBorders>
            <w:tcMar>
              <w:top w:w="0" w:type="dxa"/>
              <w:left w:w="57" w:type="dxa"/>
              <w:bottom w:w="0" w:type="dxa"/>
              <w:right w:w="57" w:type="dxa"/>
            </w:tcMar>
            <w:vAlign w:val="center"/>
          </w:tcPr>
          <w:p w14:paraId="76949AEC">
            <w:pPr>
              <w:widowControl w:val="0"/>
              <w:adjustRightInd w:val="0"/>
              <w:snapToGrid w:val="0"/>
              <w:spacing w:line="280" w:lineRule="exact"/>
              <w:jc w:val="center"/>
              <w:rPr>
                <w:rFonts w:eastAsia="方正黑体_GBK"/>
                <w:b/>
                <w:snapToGrid w:val="0"/>
                <w:color w:val="auto"/>
                <w:sz w:val="18"/>
                <w:szCs w:val="18"/>
              </w:rPr>
            </w:pPr>
            <w:r>
              <w:rPr>
                <w:rFonts w:eastAsia="方正黑体_GBK"/>
                <w:b/>
                <w:snapToGrid w:val="0"/>
                <w:color w:val="auto"/>
                <w:sz w:val="18"/>
                <w:szCs w:val="18"/>
              </w:rPr>
              <w:t>广西单位是否原始署名</w:t>
            </w:r>
          </w:p>
        </w:tc>
        <w:tc>
          <w:tcPr>
            <w:tcW w:w="618" w:type="dxa"/>
            <w:tcBorders>
              <w:top w:val="single" w:color="auto" w:sz="8" w:space="0"/>
              <w:left w:val="single" w:color="auto" w:sz="4" w:space="0"/>
              <w:bottom w:val="single" w:color="auto" w:sz="4" w:space="0"/>
              <w:right w:val="single" w:color="auto" w:sz="8" w:space="0"/>
            </w:tcBorders>
            <w:tcMar>
              <w:top w:w="0" w:type="dxa"/>
              <w:left w:w="57" w:type="dxa"/>
              <w:bottom w:w="0" w:type="dxa"/>
              <w:right w:w="57" w:type="dxa"/>
            </w:tcMar>
            <w:vAlign w:val="center"/>
          </w:tcPr>
          <w:p w14:paraId="3E08502A">
            <w:pPr>
              <w:widowControl w:val="0"/>
              <w:adjustRightInd w:val="0"/>
              <w:snapToGrid w:val="0"/>
              <w:spacing w:line="280" w:lineRule="exact"/>
              <w:jc w:val="center"/>
              <w:rPr>
                <w:rFonts w:eastAsia="方正黑体_GBK"/>
                <w:b/>
                <w:snapToGrid w:val="0"/>
                <w:color w:val="auto"/>
                <w:sz w:val="18"/>
                <w:szCs w:val="18"/>
              </w:rPr>
            </w:pPr>
            <w:r>
              <w:rPr>
                <w:rFonts w:eastAsia="方正黑体_GBK"/>
                <w:b/>
                <w:snapToGrid w:val="0"/>
                <w:color w:val="auto"/>
                <w:sz w:val="18"/>
                <w:szCs w:val="18"/>
              </w:rPr>
              <w:t>附件编号</w:t>
            </w:r>
          </w:p>
        </w:tc>
      </w:tr>
      <w:tr w14:paraId="226B68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1134" w:hRule="atLeast"/>
          <w:jc w:val="center"/>
        </w:trPr>
        <w:tc>
          <w:tcPr>
            <w:tcW w:w="557" w:type="dxa"/>
            <w:tcBorders>
              <w:top w:val="single" w:color="auto" w:sz="4" w:space="0"/>
              <w:left w:val="single" w:color="auto" w:sz="8" w:space="0"/>
              <w:bottom w:val="single" w:color="auto" w:sz="4" w:space="0"/>
              <w:right w:val="single" w:color="auto" w:sz="4" w:space="0"/>
            </w:tcBorders>
            <w:tcMar>
              <w:top w:w="0" w:type="dxa"/>
              <w:left w:w="57" w:type="dxa"/>
              <w:bottom w:w="0" w:type="dxa"/>
              <w:right w:w="57" w:type="dxa"/>
            </w:tcMar>
            <w:vAlign w:val="center"/>
          </w:tcPr>
          <w:p w14:paraId="4FB81626">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lang w:val="en-US" w:eastAsia="zh-CN"/>
              </w:rPr>
            </w:pPr>
            <w:r>
              <w:rPr>
                <w:rFonts w:hint="eastAsia" w:ascii="仿宋" w:hAnsi="仿宋" w:eastAsia="仿宋"/>
                <w:bCs/>
                <w:color w:val="auto"/>
                <w:kern w:val="0"/>
                <w:sz w:val="21"/>
                <w:szCs w:val="21"/>
                <w:lang w:val="en-US" w:eastAsia="zh-CN"/>
              </w:rPr>
              <w:t>1</w:t>
            </w:r>
          </w:p>
        </w:tc>
        <w:tc>
          <w:tcPr>
            <w:tcW w:w="70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6436A238">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发明专利</w:t>
            </w:r>
          </w:p>
        </w:tc>
        <w:tc>
          <w:tcPr>
            <w:tcW w:w="2003"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1EFA2632">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哑资源管理系统自动测试方法、系统、设备、介质和产品</w:t>
            </w:r>
          </w:p>
        </w:tc>
        <w:tc>
          <w:tcPr>
            <w:tcW w:w="1195"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7D981C8F">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ZL 2026 1 0055604.9</w:t>
            </w:r>
          </w:p>
        </w:tc>
        <w:tc>
          <w:tcPr>
            <w:tcW w:w="68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4F8C9654">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2026-03-27</w:t>
            </w:r>
          </w:p>
        </w:tc>
        <w:tc>
          <w:tcPr>
            <w:tcW w:w="2437"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5F70026F">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胡建峰,张振荣,葛晓虎,禹诚,王雪峰,唐振华,叶俊良,万晖,李海涛,丁翔峰,董强,杨庭</w:t>
            </w:r>
          </w:p>
        </w:tc>
        <w:tc>
          <w:tcPr>
            <w:tcW w:w="232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671A4812">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武汉烽火技术服务有限公司,广西大学,华中科技大学,武汉城市职业学院,湖北华中电力科技开发有限责任公司</w:t>
            </w:r>
          </w:p>
        </w:tc>
        <w:tc>
          <w:tcPr>
            <w:tcW w:w="11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764BBC05">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国家知识产权局</w:t>
            </w:r>
          </w:p>
        </w:tc>
        <w:tc>
          <w:tcPr>
            <w:tcW w:w="127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5278F1B8">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有效</w:t>
            </w:r>
          </w:p>
        </w:tc>
        <w:tc>
          <w:tcPr>
            <w:tcW w:w="11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04DDFAE3">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是</w:t>
            </w:r>
          </w:p>
        </w:tc>
        <w:tc>
          <w:tcPr>
            <w:tcW w:w="618" w:type="dxa"/>
            <w:tcBorders>
              <w:top w:val="single" w:color="auto" w:sz="4" w:space="0"/>
              <w:left w:val="single" w:color="auto" w:sz="4" w:space="0"/>
              <w:bottom w:val="single" w:color="auto" w:sz="4" w:space="0"/>
              <w:right w:val="single" w:color="auto" w:sz="8" w:space="0"/>
            </w:tcBorders>
            <w:tcMar>
              <w:top w:w="0" w:type="dxa"/>
              <w:left w:w="57" w:type="dxa"/>
              <w:bottom w:w="0" w:type="dxa"/>
              <w:right w:w="57" w:type="dxa"/>
            </w:tcMar>
            <w:vAlign w:val="center"/>
          </w:tcPr>
          <w:p w14:paraId="52EE7E2D">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1-1</w:t>
            </w:r>
          </w:p>
        </w:tc>
      </w:tr>
      <w:tr w14:paraId="23F7B3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1134" w:hRule="atLeast"/>
          <w:jc w:val="center"/>
        </w:trPr>
        <w:tc>
          <w:tcPr>
            <w:tcW w:w="557" w:type="dxa"/>
            <w:tcBorders>
              <w:top w:val="single" w:color="auto" w:sz="4" w:space="0"/>
              <w:left w:val="single" w:color="auto" w:sz="8" w:space="0"/>
              <w:bottom w:val="single" w:color="auto" w:sz="4" w:space="0"/>
              <w:right w:val="single" w:color="auto" w:sz="4" w:space="0"/>
            </w:tcBorders>
            <w:tcMar>
              <w:top w:w="0" w:type="dxa"/>
              <w:left w:w="57" w:type="dxa"/>
              <w:bottom w:w="0" w:type="dxa"/>
              <w:right w:w="57" w:type="dxa"/>
            </w:tcMar>
            <w:vAlign w:val="center"/>
          </w:tcPr>
          <w:p w14:paraId="0D95D744">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lang w:val="en-US" w:eastAsia="zh-CN"/>
              </w:rPr>
            </w:pPr>
            <w:r>
              <w:rPr>
                <w:rFonts w:hint="eastAsia" w:ascii="仿宋" w:hAnsi="仿宋" w:eastAsia="仿宋"/>
                <w:bCs/>
                <w:color w:val="auto"/>
                <w:kern w:val="0"/>
                <w:sz w:val="21"/>
                <w:szCs w:val="21"/>
                <w:lang w:val="en-US" w:eastAsia="zh-CN"/>
              </w:rPr>
              <w:t>2</w:t>
            </w:r>
          </w:p>
        </w:tc>
        <w:tc>
          <w:tcPr>
            <w:tcW w:w="70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48700579">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发明专利</w:t>
            </w:r>
          </w:p>
        </w:tc>
        <w:tc>
          <w:tcPr>
            <w:tcW w:w="2003"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0C8ECE86">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一种毫米波MIMO-OFDM通信系统的混合预编码能效优化方法</w:t>
            </w:r>
          </w:p>
        </w:tc>
        <w:tc>
          <w:tcPr>
            <w:tcW w:w="1195"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5D959CCE">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ZL201910403994.4</w:t>
            </w:r>
          </w:p>
        </w:tc>
        <w:tc>
          <w:tcPr>
            <w:tcW w:w="68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4FAD7888">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2020-11-24</w:t>
            </w:r>
          </w:p>
        </w:tc>
        <w:tc>
          <w:tcPr>
            <w:tcW w:w="2437"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4CF5D03F">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葛晓虎,何元渊,李强,钟祎</w:t>
            </w:r>
          </w:p>
        </w:tc>
        <w:tc>
          <w:tcPr>
            <w:tcW w:w="232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0D42EEBC">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华中科技大学</w:t>
            </w:r>
          </w:p>
        </w:tc>
        <w:tc>
          <w:tcPr>
            <w:tcW w:w="1134" w:type="dxa"/>
            <w:tcBorders>
              <w:top w:val="single" w:color="auto" w:sz="4" w:space="0"/>
              <w:left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5BCD60B6">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lang w:val="en-US" w:eastAsia="zh-CN"/>
              </w:rPr>
            </w:pPr>
            <w:r>
              <w:rPr>
                <w:rFonts w:hint="eastAsia" w:ascii="仿宋" w:hAnsi="仿宋" w:eastAsia="仿宋"/>
                <w:bCs/>
                <w:color w:val="auto"/>
                <w:kern w:val="0"/>
                <w:sz w:val="21"/>
                <w:szCs w:val="21"/>
              </w:rPr>
              <w:t>国家知识产权局</w:t>
            </w:r>
          </w:p>
        </w:tc>
        <w:tc>
          <w:tcPr>
            <w:tcW w:w="127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71040BB8">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有效</w:t>
            </w:r>
          </w:p>
        </w:tc>
        <w:tc>
          <w:tcPr>
            <w:tcW w:w="11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4342775F">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否</w:t>
            </w:r>
          </w:p>
        </w:tc>
        <w:tc>
          <w:tcPr>
            <w:tcW w:w="618" w:type="dxa"/>
            <w:tcBorders>
              <w:top w:val="single" w:color="auto" w:sz="4" w:space="0"/>
              <w:left w:val="single" w:color="auto" w:sz="4" w:space="0"/>
              <w:bottom w:val="single" w:color="auto" w:sz="4" w:space="0"/>
              <w:right w:val="single" w:color="auto" w:sz="8" w:space="0"/>
            </w:tcBorders>
            <w:tcMar>
              <w:top w:w="0" w:type="dxa"/>
              <w:left w:w="57" w:type="dxa"/>
              <w:bottom w:w="0" w:type="dxa"/>
              <w:right w:w="57" w:type="dxa"/>
            </w:tcMar>
            <w:vAlign w:val="center"/>
          </w:tcPr>
          <w:p w14:paraId="67EA5625">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1-2</w:t>
            </w:r>
          </w:p>
        </w:tc>
      </w:tr>
      <w:tr w14:paraId="704D5B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1134" w:hRule="atLeast"/>
          <w:jc w:val="center"/>
        </w:trPr>
        <w:tc>
          <w:tcPr>
            <w:tcW w:w="557" w:type="dxa"/>
            <w:tcBorders>
              <w:top w:val="single" w:color="auto" w:sz="4" w:space="0"/>
              <w:left w:val="single" w:color="auto" w:sz="8" w:space="0"/>
              <w:bottom w:val="single" w:color="auto" w:sz="4" w:space="0"/>
              <w:right w:val="single" w:color="auto" w:sz="4" w:space="0"/>
            </w:tcBorders>
            <w:tcMar>
              <w:top w:w="0" w:type="dxa"/>
              <w:left w:w="57" w:type="dxa"/>
              <w:bottom w:w="0" w:type="dxa"/>
              <w:right w:w="57" w:type="dxa"/>
            </w:tcMar>
            <w:vAlign w:val="center"/>
          </w:tcPr>
          <w:p w14:paraId="709E578A">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lang w:val="en-US" w:eastAsia="zh-CN"/>
              </w:rPr>
            </w:pPr>
            <w:r>
              <w:rPr>
                <w:rFonts w:hint="eastAsia" w:hAnsi="仿宋" w:eastAsia="仿宋"/>
                <w:bCs/>
                <w:color w:val="auto"/>
                <w:kern w:val="0"/>
                <w:sz w:val="21"/>
                <w:szCs w:val="21"/>
                <w:lang w:val="en-US" w:eastAsia="zh-CN"/>
              </w:rPr>
              <w:t>3</w:t>
            </w:r>
          </w:p>
        </w:tc>
        <w:tc>
          <w:tcPr>
            <w:tcW w:w="70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05912F57">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发明专利</w:t>
            </w:r>
          </w:p>
        </w:tc>
        <w:tc>
          <w:tcPr>
            <w:tcW w:w="2003"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2DD1C6CB">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一种基于平均场博弈的移动通信基站能效优化方法</w:t>
            </w:r>
          </w:p>
        </w:tc>
        <w:tc>
          <w:tcPr>
            <w:tcW w:w="1195"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63C41756">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ZL201710642901.4</w:t>
            </w:r>
          </w:p>
        </w:tc>
        <w:tc>
          <w:tcPr>
            <w:tcW w:w="68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74C023EB">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2018-04-10</w:t>
            </w:r>
          </w:p>
        </w:tc>
        <w:tc>
          <w:tcPr>
            <w:tcW w:w="2437"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0A2EDADF">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葛晓虎,贾皓明,韩涛,李强</w:t>
            </w:r>
          </w:p>
        </w:tc>
        <w:tc>
          <w:tcPr>
            <w:tcW w:w="232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428F5116">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华中科技大学</w:t>
            </w:r>
          </w:p>
        </w:tc>
        <w:tc>
          <w:tcPr>
            <w:tcW w:w="1134" w:type="dxa"/>
            <w:tcBorders>
              <w:top w:val="single" w:color="auto" w:sz="4" w:space="0"/>
              <w:left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0F269C0D">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lang w:val="en-US" w:eastAsia="zh-CN"/>
              </w:rPr>
            </w:pPr>
            <w:r>
              <w:rPr>
                <w:rFonts w:hint="eastAsia" w:ascii="仿宋" w:hAnsi="仿宋" w:eastAsia="仿宋"/>
                <w:bCs/>
                <w:color w:val="auto"/>
                <w:kern w:val="0"/>
                <w:sz w:val="21"/>
                <w:szCs w:val="21"/>
              </w:rPr>
              <w:t>国家知识产权局</w:t>
            </w:r>
          </w:p>
        </w:tc>
        <w:tc>
          <w:tcPr>
            <w:tcW w:w="127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573D5724">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有效</w:t>
            </w:r>
          </w:p>
        </w:tc>
        <w:tc>
          <w:tcPr>
            <w:tcW w:w="11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6744F7A9">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否</w:t>
            </w:r>
          </w:p>
        </w:tc>
        <w:tc>
          <w:tcPr>
            <w:tcW w:w="618" w:type="dxa"/>
            <w:tcBorders>
              <w:top w:val="single" w:color="auto" w:sz="4" w:space="0"/>
              <w:left w:val="single" w:color="auto" w:sz="4" w:space="0"/>
              <w:bottom w:val="single" w:color="auto" w:sz="4" w:space="0"/>
              <w:right w:val="single" w:color="auto" w:sz="8" w:space="0"/>
            </w:tcBorders>
            <w:tcMar>
              <w:top w:w="0" w:type="dxa"/>
              <w:left w:w="57" w:type="dxa"/>
              <w:bottom w:w="0" w:type="dxa"/>
              <w:right w:w="57" w:type="dxa"/>
            </w:tcMar>
            <w:vAlign w:val="center"/>
          </w:tcPr>
          <w:p w14:paraId="5BDE0AB3">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1-3</w:t>
            </w:r>
          </w:p>
        </w:tc>
      </w:tr>
      <w:tr w14:paraId="7C3CFB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1134" w:hRule="atLeast"/>
          <w:jc w:val="center"/>
        </w:trPr>
        <w:tc>
          <w:tcPr>
            <w:tcW w:w="557" w:type="dxa"/>
            <w:tcBorders>
              <w:top w:val="single" w:color="auto" w:sz="4" w:space="0"/>
              <w:left w:val="single" w:color="auto" w:sz="8" w:space="0"/>
              <w:bottom w:val="single" w:color="auto" w:sz="4" w:space="0"/>
              <w:right w:val="single" w:color="auto" w:sz="4" w:space="0"/>
            </w:tcBorders>
            <w:tcMar>
              <w:top w:w="0" w:type="dxa"/>
              <w:left w:w="57" w:type="dxa"/>
              <w:bottom w:w="0" w:type="dxa"/>
              <w:right w:w="57" w:type="dxa"/>
            </w:tcMar>
            <w:vAlign w:val="center"/>
          </w:tcPr>
          <w:p w14:paraId="62CE75B0">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lang w:val="en-US" w:eastAsia="zh-CN"/>
              </w:rPr>
            </w:pPr>
            <w:r>
              <w:rPr>
                <w:rFonts w:hint="eastAsia" w:hAnsi="仿宋" w:eastAsia="仿宋"/>
                <w:bCs/>
                <w:color w:val="auto"/>
                <w:kern w:val="0"/>
                <w:sz w:val="21"/>
                <w:szCs w:val="21"/>
                <w:lang w:val="en-US" w:eastAsia="zh-CN"/>
              </w:rPr>
              <w:t>4</w:t>
            </w:r>
          </w:p>
        </w:tc>
        <w:tc>
          <w:tcPr>
            <w:tcW w:w="70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2585C21F">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发明专利</w:t>
            </w:r>
          </w:p>
        </w:tc>
        <w:tc>
          <w:tcPr>
            <w:tcW w:w="2003"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1774E94B">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一种基于机器学习的高精度室内可见光定位方法</w:t>
            </w:r>
          </w:p>
        </w:tc>
        <w:tc>
          <w:tcPr>
            <w:tcW w:w="1195"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7B26A767">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ZL201810509459.2</w:t>
            </w:r>
          </w:p>
        </w:tc>
        <w:tc>
          <w:tcPr>
            <w:tcW w:w="68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14F10D5C">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2022-08-09</w:t>
            </w:r>
          </w:p>
        </w:tc>
        <w:tc>
          <w:tcPr>
            <w:tcW w:w="2437"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7E9A4E78">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李晓记; 胡云云; 曹燕平; 陆毅; 周昱; 潘桂泉</w:t>
            </w:r>
          </w:p>
        </w:tc>
        <w:tc>
          <w:tcPr>
            <w:tcW w:w="232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00C15FD0">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桂林电子科技大学</w:t>
            </w:r>
          </w:p>
        </w:tc>
        <w:tc>
          <w:tcPr>
            <w:tcW w:w="1134" w:type="dxa"/>
            <w:tcBorders>
              <w:top w:val="single" w:color="auto" w:sz="4" w:space="0"/>
              <w:left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158558C0">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lang w:val="en-US" w:eastAsia="zh-CN"/>
              </w:rPr>
            </w:pPr>
            <w:r>
              <w:rPr>
                <w:rFonts w:hint="eastAsia" w:ascii="仿宋" w:hAnsi="仿宋" w:eastAsia="仿宋"/>
                <w:bCs/>
                <w:color w:val="auto"/>
                <w:kern w:val="0"/>
                <w:sz w:val="21"/>
                <w:szCs w:val="21"/>
              </w:rPr>
              <w:t>国家知识产权局</w:t>
            </w:r>
          </w:p>
        </w:tc>
        <w:tc>
          <w:tcPr>
            <w:tcW w:w="127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37AA7B58">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有效</w:t>
            </w:r>
          </w:p>
        </w:tc>
        <w:tc>
          <w:tcPr>
            <w:tcW w:w="11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224AA9C9">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是</w:t>
            </w:r>
          </w:p>
        </w:tc>
        <w:tc>
          <w:tcPr>
            <w:tcW w:w="618" w:type="dxa"/>
            <w:tcBorders>
              <w:top w:val="single" w:color="auto" w:sz="4" w:space="0"/>
              <w:left w:val="single" w:color="auto" w:sz="4" w:space="0"/>
              <w:bottom w:val="single" w:color="auto" w:sz="4" w:space="0"/>
              <w:right w:val="single" w:color="auto" w:sz="8" w:space="0"/>
            </w:tcBorders>
            <w:tcMar>
              <w:top w:w="0" w:type="dxa"/>
              <w:left w:w="57" w:type="dxa"/>
              <w:bottom w:w="0" w:type="dxa"/>
              <w:right w:w="57" w:type="dxa"/>
            </w:tcMar>
            <w:vAlign w:val="center"/>
          </w:tcPr>
          <w:p w14:paraId="256058D7">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1-4</w:t>
            </w:r>
          </w:p>
        </w:tc>
      </w:tr>
      <w:tr w14:paraId="35A212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1134" w:hRule="atLeast"/>
          <w:jc w:val="center"/>
        </w:trPr>
        <w:tc>
          <w:tcPr>
            <w:tcW w:w="557" w:type="dxa"/>
            <w:tcBorders>
              <w:top w:val="single" w:color="auto" w:sz="4" w:space="0"/>
              <w:left w:val="single" w:color="auto" w:sz="8" w:space="0"/>
              <w:bottom w:val="single" w:color="auto" w:sz="4" w:space="0"/>
              <w:right w:val="single" w:color="auto" w:sz="4" w:space="0"/>
            </w:tcBorders>
            <w:tcMar>
              <w:top w:w="0" w:type="dxa"/>
              <w:left w:w="57" w:type="dxa"/>
              <w:bottom w:w="0" w:type="dxa"/>
              <w:right w:w="57" w:type="dxa"/>
            </w:tcMar>
            <w:vAlign w:val="center"/>
          </w:tcPr>
          <w:p w14:paraId="4A7FF3EF">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lang w:val="en-US" w:eastAsia="zh-CN"/>
              </w:rPr>
            </w:pPr>
            <w:r>
              <w:rPr>
                <w:rFonts w:hint="eastAsia" w:hAnsi="仿宋" w:eastAsia="仿宋"/>
                <w:bCs/>
                <w:color w:val="auto"/>
                <w:kern w:val="0"/>
                <w:sz w:val="21"/>
                <w:szCs w:val="21"/>
                <w:lang w:val="en-US" w:eastAsia="zh-CN"/>
              </w:rPr>
              <w:t>5</w:t>
            </w:r>
          </w:p>
        </w:tc>
        <w:tc>
          <w:tcPr>
            <w:tcW w:w="70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29BDF377">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发明专利</w:t>
            </w:r>
          </w:p>
        </w:tc>
        <w:tc>
          <w:tcPr>
            <w:tcW w:w="2003"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7731D553">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一种Wi-Fi样本数据优化方法</w:t>
            </w:r>
          </w:p>
        </w:tc>
        <w:tc>
          <w:tcPr>
            <w:tcW w:w="1195"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4DD1BABA">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ZL201810993696.0</w:t>
            </w:r>
          </w:p>
        </w:tc>
        <w:tc>
          <w:tcPr>
            <w:tcW w:w="68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01F548DE">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2020-07-17</w:t>
            </w:r>
          </w:p>
        </w:tc>
        <w:tc>
          <w:tcPr>
            <w:tcW w:w="2437"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39F91137">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罗丽燕; 王玫; 仇洪冰; 宋浠瑜; 邓小芳; 周陬; 覃泓铭; 韦金泉</w:t>
            </w:r>
          </w:p>
        </w:tc>
        <w:tc>
          <w:tcPr>
            <w:tcW w:w="232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2316370A">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桂林电子科技大学</w:t>
            </w:r>
          </w:p>
        </w:tc>
        <w:tc>
          <w:tcPr>
            <w:tcW w:w="1134" w:type="dxa"/>
            <w:tcBorders>
              <w:top w:val="single" w:color="auto" w:sz="4" w:space="0"/>
              <w:left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264A2CC3">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lang w:val="en-US" w:eastAsia="zh-CN"/>
              </w:rPr>
            </w:pPr>
            <w:r>
              <w:rPr>
                <w:rFonts w:hint="eastAsia" w:ascii="仿宋" w:hAnsi="仿宋" w:eastAsia="仿宋"/>
                <w:bCs/>
                <w:color w:val="auto"/>
                <w:kern w:val="0"/>
                <w:sz w:val="21"/>
                <w:szCs w:val="21"/>
              </w:rPr>
              <w:t>国家知识产权局</w:t>
            </w:r>
          </w:p>
        </w:tc>
        <w:tc>
          <w:tcPr>
            <w:tcW w:w="127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06A3FC2D">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有效</w:t>
            </w:r>
          </w:p>
        </w:tc>
        <w:tc>
          <w:tcPr>
            <w:tcW w:w="11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5C0DFAD3">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是</w:t>
            </w:r>
          </w:p>
        </w:tc>
        <w:tc>
          <w:tcPr>
            <w:tcW w:w="618" w:type="dxa"/>
            <w:tcBorders>
              <w:top w:val="single" w:color="auto" w:sz="4" w:space="0"/>
              <w:left w:val="single" w:color="auto" w:sz="4" w:space="0"/>
              <w:bottom w:val="single" w:color="auto" w:sz="4" w:space="0"/>
              <w:right w:val="single" w:color="auto" w:sz="8" w:space="0"/>
            </w:tcBorders>
            <w:tcMar>
              <w:top w:w="0" w:type="dxa"/>
              <w:left w:w="57" w:type="dxa"/>
              <w:bottom w:w="0" w:type="dxa"/>
              <w:right w:w="57" w:type="dxa"/>
            </w:tcMar>
            <w:vAlign w:val="center"/>
          </w:tcPr>
          <w:p w14:paraId="1F5C5E80">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1-5</w:t>
            </w:r>
          </w:p>
        </w:tc>
      </w:tr>
      <w:tr w14:paraId="51DA60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1134" w:hRule="atLeast"/>
          <w:jc w:val="center"/>
        </w:trPr>
        <w:tc>
          <w:tcPr>
            <w:tcW w:w="557" w:type="dxa"/>
            <w:tcBorders>
              <w:top w:val="single" w:color="auto" w:sz="4" w:space="0"/>
              <w:left w:val="single" w:color="auto" w:sz="8" w:space="0"/>
              <w:bottom w:val="single" w:color="auto" w:sz="4" w:space="0"/>
              <w:right w:val="single" w:color="auto" w:sz="4" w:space="0"/>
            </w:tcBorders>
            <w:tcMar>
              <w:top w:w="0" w:type="dxa"/>
              <w:left w:w="57" w:type="dxa"/>
              <w:bottom w:w="0" w:type="dxa"/>
              <w:right w:w="57" w:type="dxa"/>
            </w:tcMar>
            <w:vAlign w:val="center"/>
          </w:tcPr>
          <w:p w14:paraId="25BC809D">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lang w:val="en-US" w:eastAsia="zh-CN"/>
              </w:rPr>
            </w:pPr>
            <w:r>
              <w:rPr>
                <w:rFonts w:hint="eastAsia" w:hAnsi="仿宋" w:eastAsia="仿宋"/>
                <w:bCs/>
                <w:color w:val="auto"/>
                <w:kern w:val="0"/>
                <w:sz w:val="21"/>
                <w:szCs w:val="21"/>
                <w:lang w:val="en-US" w:eastAsia="zh-CN"/>
              </w:rPr>
              <w:t>6</w:t>
            </w:r>
          </w:p>
        </w:tc>
        <w:tc>
          <w:tcPr>
            <w:tcW w:w="70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4B9EC633">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发明专利</w:t>
            </w:r>
          </w:p>
        </w:tc>
        <w:tc>
          <w:tcPr>
            <w:tcW w:w="2003"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25267117">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一种验证无线接入点的方法以及装置</w:t>
            </w:r>
          </w:p>
        </w:tc>
        <w:tc>
          <w:tcPr>
            <w:tcW w:w="1195"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4ECD3BAC">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ZL201110454941.9</w:t>
            </w:r>
          </w:p>
        </w:tc>
        <w:tc>
          <w:tcPr>
            <w:tcW w:w="68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327717CB">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default" w:ascii="仿宋" w:hAnsi="仿宋" w:eastAsia="仿宋"/>
                <w:bCs/>
                <w:color w:val="auto"/>
                <w:kern w:val="0"/>
                <w:sz w:val="21"/>
                <w:szCs w:val="21"/>
                <w:lang w:val="en-US" w:eastAsia="zh-CN"/>
              </w:rPr>
            </w:pPr>
            <w:r>
              <w:rPr>
                <w:rFonts w:hint="eastAsia" w:ascii="仿宋" w:hAnsi="仿宋" w:eastAsia="仿宋"/>
                <w:bCs/>
                <w:color w:val="auto"/>
                <w:kern w:val="0"/>
                <w:sz w:val="21"/>
                <w:szCs w:val="21"/>
              </w:rPr>
              <w:t>20</w:t>
            </w:r>
            <w:r>
              <w:rPr>
                <w:rFonts w:hint="eastAsia" w:hAnsi="仿宋" w:eastAsia="仿宋"/>
                <w:bCs/>
                <w:color w:val="auto"/>
                <w:kern w:val="0"/>
                <w:sz w:val="21"/>
                <w:szCs w:val="21"/>
                <w:lang w:val="en-US" w:eastAsia="zh-CN"/>
              </w:rPr>
              <w:t>15</w:t>
            </w:r>
            <w:r>
              <w:rPr>
                <w:rFonts w:hint="eastAsia" w:ascii="仿宋" w:hAnsi="仿宋" w:eastAsia="仿宋"/>
                <w:bCs/>
                <w:color w:val="auto"/>
                <w:kern w:val="0"/>
                <w:sz w:val="21"/>
                <w:szCs w:val="21"/>
              </w:rPr>
              <w:t>-07-</w:t>
            </w:r>
            <w:r>
              <w:rPr>
                <w:rFonts w:hint="eastAsia" w:hAnsi="仿宋" w:eastAsia="仿宋"/>
                <w:bCs/>
                <w:color w:val="auto"/>
                <w:kern w:val="0"/>
                <w:sz w:val="21"/>
                <w:szCs w:val="21"/>
                <w:lang w:val="en-US" w:eastAsia="zh-CN"/>
              </w:rPr>
              <w:t>29</w:t>
            </w:r>
          </w:p>
        </w:tc>
        <w:tc>
          <w:tcPr>
            <w:tcW w:w="2437"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1DD88636">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宁建创；李悦；莫晓斌；袁兵；陈励锋</w:t>
            </w:r>
            <w:r>
              <w:rPr>
                <w:rFonts w:hint="eastAsia" w:hAnsi="仿宋" w:eastAsia="仿宋"/>
                <w:bCs/>
                <w:color w:val="auto"/>
                <w:kern w:val="0"/>
                <w:sz w:val="21"/>
                <w:szCs w:val="21"/>
                <w:lang w:eastAsia="zh-CN"/>
              </w:rPr>
              <w:t>；</w:t>
            </w:r>
            <w:r>
              <w:rPr>
                <w:rFonts w:hint="eastAsia" w:ascii="仿宋" w:hAnsi="仿宋" w:eastAsia="仿宋"/>
                <w:bCs/>
                <w:color w:val="auto"/>
                <w:kern w:val="0"/>
                <w:sz w:val="21"/>
                <w:szCs w:val="21"/>
              </w:rPr>
              <w:t>何秋萍</w:t>
            </w:r>
          </w:p>
        </w:tc>
        <w:tc>
          <w:tcPr>
            <w:tcW w:w="232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16A199B1">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lang w:eastAsia="zh-CN"/>
              </w:rPr>
            </w:pPr>
            <w:r>
              <w:rPr>
                <w:rFonts w:hint="eastAsia" w:ascii="仿宋" w:hAnsi="仿宋" w:eastAsia="仿宋"/>
                <w:bCs/>
                <w:color w:val="auto"/>
                <w:kern w:val="0"/>
                <w:sz w:val="21"/>
                <w:szCs w:val="21"/>
              </w:rPr>
              <w:t>中国移动通信集团广西有限公司</w:t>
            </w:r>
          </w:p>
        </w:tc>
        <w:tc>
          <w:tcPr>
            <w:tcW w:w="1134" w:type="dxa"/>
            <w:tcBorders>
              <w:top w:val="single" w:color="auto" w:sz="4" w:space="0"/>
              <w:left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5091C722">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lang w:val="en-US" w:eastAsia="zh-CN"/>
              </w:rPr>
            </w:pPr>
            <w:r>
              <w:rPr>
                <w:rFonts w:hint="eastAsia" w:ascii="仿宋" w:hAnsi="仿宋" w:eastAsia="仿宋"/>
                <w:bCs/>
                <w:color w:val="auto"/>
                <w:kern w:val="0"/>
                <w:sz w:val="21"/>
                <w:szCs w:val="21"/>
              </w:rPr>
              <w:t>国家知识产权局</w:t>
            </w:r>
          </w:p>
        </w:tc>
        <w:tc>
          <w:tcPr>
            <w:tcW w:w="127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03914729">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有效</w:t>
            </w:r>
          </w:p>
        </w:tc>
        <w:tc>
          <w:tcPr>
            <w:tcW w:w="11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7763A145">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是</w:t>
            </w:r>
          </w:p>
        </w:tc>
        <w:tc>
          <w:tcPr>
            <w:tcW w:w="618" w:type="dxa"/>
            <w:tcBorders>
              <w:top w:val="single" w:color="auto" w:sz="4" w:space="0"/>
              <w:left w:val="single" w:color="auto" w:sz="4" w:space="0"/>
              <w:bottom w:val="single" w:color="auto" w:sz="4" w:space="0"/>
              <w:right w:val="single" w:color="auto" w:sz="8" w:space="0"/>
            </w:tcBorders>
            <w:tcMar>
              <w:top w:w="0" w:type="dxa"/>
              <w:left w:w="57" w:type="dxa"/>
              <w:bottom w:w="0" w:type="dxa"/>
              <w:right w:w="57" w:type="dxa"/>
            </w:tcMar>
            <w:vAlign w:val="center"/>
          </w:tcPr>
          <w:p w14:paraId="442EC8CE">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1-6</w:t>
            </w:r>
          </w:p>
        </w:tc>
      </w:tr>
      <w:tr w14:paraId="3DFE6C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1134" w:hRule="atLeast"/>
          <w:jc w:val="center"/>
        </w:trPr>
        <w:tc>
          <w:tcPr>
            <w:tcW w:w="557" w:type="dxa"/>
            <w:tcBorders>
              <w:top w:val="single" w:color="auto" w:sz="4" w:space="0"/>
              <w:left w:val="single" w:color="auto" w:sz="8" w:space="0"/>
              <w:bottom w:val="single" w:color="auto" w:sz="4" w:space="0"/>
              <w:right w:val="single" w:color="auto" w:sz="4" w:space="0"/>
            </w:tcBorders>
            <w:tcMar>
              <w:top w:w="0" w:type="dxa"/>
              <w:left w:w="57" w:type="dxa"/>
              <w:bottom w:w="0" w:type="dxa"/>
              <w:right w:w="57" w:type="dxa"/>
            </w:tcMar>
            <w:vAlign w:val="center"/>
          </w:tcPr>
          <w:p w14:paraId="41BB9E85">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lang w:val="en-US" w:eastAsia="zh-CN"/>
              </w:rPr>
            </w:pPr>
            <w:r>
              <w:rPr>
                <w:rFonts w:hint="eastAsia" w:hAnsi="仿宋" w:eastAsia="仿宋"/>
                <w:bCs/>
                <w:color w:val="auto"/>
                <w:kern w:val="0"/>
                <w:sz w:val="21"/>
                <w:szCs w:val="21"/>
                <w:lang w:val="en-US" w:eastAsia="zh-CN"/>
              </w:rPr>
              <w:t>7</w:t>
            </w:r>
          </w:p>
        </w:tc>
        <w:tc>
          <w:tcPr>
            <w:tcW w:w="70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55BD2DB4">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发明专利</w:t>
            </w:r>
          </w:p>
        </w:tc>
        <w:tc>
          <w:tcPr>
            <w:tcW w:w="2003"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558F46FA">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网络拨测方法、装置、设备、存储介质和程序产品</w:t>
            </w:r>
          </w:p>
        </w:tc>
        <w:tc>
          <w:tcPr>
            <w:tcW w:w="1195"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74A2D6EF">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ZL202411404786.3</w:t>
            </w:r>
          </w:p>
        </w:tc>
        <w:tc>
          <w:tcPr>
            <w:tcW w:w="68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261C812B">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default" w:ascii="仿宋" w:hAnsi="仿宋" w:eastAsia="仿宋"/>
                <w:bCs/>
                <w:color w:val="auto"/>
                <w:kern w:val="0"/>
                <w:sz w:val="21"/>
                <w:szCs w:val="21"/>
                <w:lang w:val="en-US" w:eastAsia="zh-CN"/>
              </w:rPr>
            </w:pPr>
            <w:r>
              <w:rPr>
                <w:rFonts w:hint="eastAsia" w:ascii="仿宋" w:hAnsi="仿宋" w:eastAsia="仿宋"/>
                <w:bCs/>
                <w:color w:val="auto"/>
                <w:kern w:val="0"/>
                <w:sz w:val="21"/>
                <w:szCs w:val="21"/>
              </w:rPr>
              <w:t>202</w:t>
            </w:r>
            <w:r>
              <w:rPr>
                <w:rFonts w:hint="eastAsia" w:hAnsi="仿宋" w:eastAsia="仿宋"/>
                <w:bCs/>
                <w:color w:val="auto"/>
                <w:kern w:val="0"/>
                <w:sz w:val="21"/>
                <w:szCs w:val="21"/>
                <w:lang w:val="en-US" w:eastAsia="zh-CN"/>
              </w:rPr>
              <w:t>5</w:t>
            </w:r>
            <w:r>
              <w:rPr>
                <w:rFonts w:hint="eastAsia" w:ascii="仿宋" w:hAnsi="仿宋" w:eastAsia="仿宋"/>
                <w:bCs/>
                <w:color w:val="auto"/>
                <w:kern w:val="0"/>
                <w:sz w:val="21"/>
                <w:szCs w:val="21"/>
              </w:rPr>
              <w:t>-11-</w:t>
            </w:r>
            <w:r>
              <w:rPr>
                <w:rFonts w:hint="eastAsia" w:hAnsi="仿宋" w:eastAsia="仿宋"/>
                <w:bCs/>
                <w:color w:val="auto"/>
                <w:kern w:val="0"/>
                <w:sz w:val="21"/>
                <w:szCs w:val="21"/>
                <w:lang w:val="en-US" w:eastAsia="zh-CN"/>
              </w:rPr>
              <w:t>21</w:t>
            </w:r>
          </w:p>
        </w:tc>
        <w:tc>
          <w:tcPr>
            <w:tcW w:w="2437"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2E94094B">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陈志敏；黄柳婷；莫晓斌；廖岚；高峰</w:t>
            </w:r>
          </w:p>
        </w:tc>
        <w:tc>
          <w:tcPr>
            <w:tcW w:w="232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00353E58">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中国移动通信集团广西有限公司</w:t>
            </w:r>
            <w:r>
              <w:rPr>
                <w:rFonts w:hint="eastAsia" w:hAnsi="仿宋" w:eastAsia="仿宋"/>
                <w:bCs/>
                <w:color w:val="auto"/>
                <w:kern w:val="0"/>
                <w:sz w:val="21"/>
                <w:szCs w:val="21"/>
                <w:lang w:eastAsia="zh-CN"/>
              </w:rPr>
              <w:t>，中国移动通信集团有限公司</w:t>
            </w:r>
            <w:bookmarkStart w:id="3" w:name="_GoBack"/>
            <w:bookmarkEnd w:id="3"/>
          </w:p>
        </w:tc>
        <w:tc>
          <w:tcPr>
            <w:tcW w:w="1134" w:type="dxa"/>
            <w:tcBorders>
              <w:top w:val="single" w:color="auto" w:sz="4" w:space="0"/>
              <w:left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15A55D02">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lang w:val="en-US" w:eastAsia="zh-CN"/>
              </w:rPr>
            </w:pPr>
            <w:r>
              <w:rPr>
                <w:rFonts w:hint="eastAsia" w:ascii="仿宋" w:hAnsi="仿宋" w:eastAsia="仿宋"/>
                <w:bCs/>
                <w:color w:val="auto"/>
                <w:kern w:val="0"/>
                <w:sz w:val="21"/>
                <w:szCs w:val="21"/>
              </w:rPr>
              <w:t>国家知识产权局</w:t>
            </w:r>
          </w:p>
        </w:tc>
        <w:tc>
          <w:tcPr>
            <w:tcW w:w="127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03EDE18F">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有效</w:t>
            </w:r>
          </w:p>
        </w:tc>
        <w:tc>
          <w:tcPr>
            <w:tcW w:w="11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57F2E5E6">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是</w:t>
            </w:r>
          </w:p>
        </w:tc>
        <w:tc>
          <w:tcPr>
            <w:tcW w:w="618" w:type="dxa"/>
            <w:tcBorders>
              <w:top w:val="single" w:color="auto" w:sz="4" w:space="0"/>
              <w:left w:val="single" w:color="auto" w:sz="4" w:space="0"/>
              <w:bottom w:val="single" w:color="auto" w:sz="4" w:space="0"/>
              <w:right w:val="single" w:color="auto" w:sz="8" w:space="0"/>
            </w:tcBorders>
            <w:tcMar>
              <w:top w:w="0" w:type="dxa"/>
              <w:left w:w="57" w:type="dxa"/>
              <w:bottom w:w="0" w:type="dxa"/>
              <w:right w:w="57" w:type="dxa"/>
            </w:tcMar>
            <w:vAlign w:val="center"/>
          </w:tcPr>
          <w:p w14:paraId="1C6A885F">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1-7</w:t>
            </w:r>
          </w:p>
        </w:tc>
      </w:tr>
      <w:tr w14:paraId="062EF4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1134" w:hRule="atLeast"/>
          <w:jc w:val="center"/>
        </w:trPr>
        <w:tc>
          <w:tcPr>
            <w:tcW w:w="557" w:type="dxa"/>
            <w:tcBorders>
              <w:top w:val="single" w:color="auto" w:sz="4" w:space="0"/>
              <w:left w:val="single" w:color="auto" w:sz="8" w:space="0"/>
              <w:bottom w:val="single" w:color="auto" w:sz="4" w:space="0"/>
              <w:right w:val="single" w:color="auto" w:sz="4" w:space="0"/>
            </w:tcBorders>
            <w:tcMar>
              <w:top w:w="0" w:type="dxa"/>
              <w:left w:w="57" w:type="dxa"/>
              <w:bottom w:w="0" w:type="dxa"/>
              <w:right w:w="57" w:type="dxa"/>
            </w:tcMar>
            <w:vAlign w:val="center"/>
          </w:tcPr>
          <w:p w14:paraId="6484B3EC">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lang w:val="en-US" w:eastAsia="zh-CN"/>
              </w:rPr>
            </w:pPr>
            <w:r>
              <w:rPr>
                <w:rFonts w:hint="eastAsia" w:hAnsi="仿宋" w:eastAsia="仿宋"/>
                <w:bCs/>
                <w:color w:val="auto"/>
                <w:kern w:val="0"/>
                <w:sz w:val="21"/>
                <w:szCs w:val="21"/>
                <w:lang w:val="en-US" w:eastAsia="zh-CN"/>
              </w:rPr>
              <w:t>8</w:t>
            </w:r>
          </w:p>
        </w:tc>
        <w:tc>
          <w:tcPr>
            <w:tcW w:w="70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51F74637">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标准</w:t>
            </w:r>
          </w:p>
        </w:tc>
        <w:tc>
          <w:tcPr>
            <w:tcW w:w="2003"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164D91E3">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职业院校人工智能数据处理安全规范</w:t>
            </w:r>
          </w:p>
        </w:tc>
        <w:tc>
          <w:tcPr>
            <w:tcW w:w="1195"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38E26624">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T/GXIE 021-2025</w:t>
            </w:r>
          </w:p>
        </w:tc>
        <w:tc>
          <w:tcPr>
            <w:tcW w:w="68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60754127">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2025-11-26</w:t>
            </w:r>
          </w:p>
        </w:tc>
        <w:tc>
          <w:tcPr>
            <w:tcW w:w="2437"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0D51595A">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刘莹,姚文龙,毛华彬,梁孟享,朱小燕,陆炫燃,李林芳,兰伟兴,黄荣雷,周林斌,徐海玲,陈金燕,覃碟,杨圆圆,张正辉,莫巧灵,农镇涛,徐丽萍,石素奇,覃登,朱大明,吴巧凤,张莹,酒梦天,王静,梁斌,罗娜娜,余晓凤,覃金艳,朱叶,侯龙真,黄采玥,程小军,陈敏,李勇波,谭浩淼,叶明川,张振荣,白琳,刘金辉,杨巨成,许明乐,赵洪刚,刘瞳,郭振民,刘洋通,孙浩,段仕浩,吴晓明,熊志文,许淮钦,梁钰,韦婷,杨冰,江咏海,叶维裕,肖泽亮,潘吉兴,甘露,邱杰,易红贵,李锦荣,钟磊,张子凌,杨树怀,林国钧,吴雍,苏芳来,黄永彰,宁永珊,阳柳,苏平,杨锴,陈文,陈雅,唐永平,黄家宁,陈智君</w:t>
            </w:r>
          </w:p>
        </w:tc>
        <w:tc>
          <w:tcPr>
            <w:tcW w:w="232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04DD7F8E">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广西安全工程职业技术学院,广西天融信网络安全技术有限公司,广西大学,桂林电子科技大学计算机与信息安全学院</w:t>
            </w:r>
          </w:p>
        </w:tc>
        <w:tc>
          <w:tcPr>
            <w:tcW w:w="1134" w:type="dxa"/>
            <w:tcBorders>
              <w:top w:val="single" w:color="auto" w:sz="4" w:space="0"/>
              <w:left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4073245B">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lang w:val="en-US" w:eastAsia="zh-CN"/>
              </w:rPr>
            </w:pPr>
            <w:r>
              <w:rPr>
                <w:rFonts w:hint="eastAsia" w:ascii="仿宋" w:hAnsi="仿宋" w:eastAsia="仿宋"/>
                <w:bCs/>
                <w:color w:val="auto"/>
                <w:kern w:val="0"/>
                <w:sz w:val="21"/>
                <w:szCs w:val="21"/>
              </w:rPr>
              <w:t>广西电子学会</w:t>
            </w:r>
          </w:p>
        </w:tc>
        <w:tc>
          <w:tcPr>
            <w:tcW w:w="127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1C4692A0">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有效</w:t>
            </w:r>
          </w:p>
        </w:tc>
        <w:tc>
          <w:tcPr>
            <w:tcW w:w="11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5A73B640">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是</w:t>
            </w:r>
          </w:p>
        </w:tc>
        <w:tc>
          <w:tcPr>
            <w:tcW w:w="618" w:type="dxa"/>
            <w:tcBorders>
              <w:top w:val="single" w:color="auto" w:sz="4" w:space="0"/>
              <w:left w:val="single" w:color="auto" w:sz="4" w:space="0"/>
              <w:bottom w:val="single" w:color="auto" w:sz="4" w:space="0"/>
              <w:right w:val="single" w:color="auto" w:sz="8" w:space="0"/>
            </w:tcBorders>
            <w:tcMar>
              <w:top w:w="0" w:type="dxa"/>
              <w:left w:w="57" w:type="dxa"/>
              <w:bottom w:w="0" w:type="dxa"/>
              <w:right w:w="57" w:type="dxa"/>
            </w:tcMar>
            <w:vAlign w:val="center"/>
          </w:tcPr>
          <w:p w14:paraId="2423A2F2">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1-8</w:t>
            </w:r>
          </w:p>
        </w:tc>
      </w:tr>
      <w:tr w14:paraId="6F3ED1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1134" w:hRule="atLeast"/>
          <w:jc w:val="center"/>
        </w:trPr>
        <w:tc>
          <w:tcPr>
            <w:tcW w:w="557" w:type="dxa"/>
            <w:tcBorders>
              <w:top w:val="single" w:color="auto" w:sz="4" w:space="0"/>
              <w:left w:val="single" w:color="auto" w:sz="8" w:space="0"/>
              <w:bottom w:val="single" w:color="auto" w:sz="4" w:space="0"/>
              <w:right w:val="single" w:color="auto" w:sz="4" w:space="0"/>
            </w:tcBorders>
            <w:tcMar>
              <w:top w:w="0" w:type="dxa"/>
              <w:left w:w="57" w:type="dxa"/>
              <w:bottom w:w="0" w:type="dxa"/>
              <w:right w:w="57" w:type="dxa"/>
            </w:tcMar>
            <w:vAlign w:val="center"/>
          </w:tcPr>
          <w:p w14:paraId="39C6681F">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lang w:val="en-US" w:eastAsia="zh-CN"/>
              </w:rPr>
            </w:pPr>
            <w:r>
              <w:rPr>
                <w:rFonts w:hint="eastAsia" w:hAnsi="仿宋" w:eastAsia="仿宋"/>
                <w:bCs/>
                <w:color w:val="auto"/>
                <w:kern w:val="0"/>
                <w:sz w:val="21"/>
                <w:szCs w:val="21"/>
                <w:lang w:val="en-US" w:eastAsia="zh-CN"/>
              </w:rPr>
              <w:t>9</w:t>
            </w:r>
          </w:p>
        </w:tc>
        <w:tc>
          <w:tcPr>
            <w:tcW w:w="70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0235F142">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发明专利</w:t>
            </w:r>
          </w:p>
        </w:tc>
        <w:tc>
          <w:tcPr>
            <w:tcW w:w="2003"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68000F8D">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一种时空随机业务影响下的绿色无线网络碳效率优化方法</w:t>
            </w:r>
          </w:p>
        </w:tc>
        <w:tc>
          <w:tcPr>
            <w:tcW w:w="1195"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061936AF">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ZL202410747564.5</w:t>
            </w:r>
          </w:p>
        </w:tc>
        <w:tc>
          <w:tcPr>
            <w:tcW w:w="68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536CDC95">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2025-11-04</w:t>
            </w:r>
          </w:p>
        </w:tc>
        <w:tc>
          <w:tcPr>
            <w:tcW w:w="2437"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3A4282C6">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钟祎,龚菲,江玮,葛晓虎,李强</w:t>
            </w:r>
          </w:p>
        </w:tc>
        <w:tc>
          <w:tcPr>
            <w:tcW w:w="232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59A49D68">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华中科技大学</w:t>
            </w:r>
          </w:p>
        </w:tc>
        <w:tc>
          <w:tcPr>
            <w:tcW w:w="1134" w:type="dxa"/>
            <w:tcBorders>
              <w:top w:val="single" w:color="auto" w:sz="4" w:space="0"/>
              <w:left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5CCF825D">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lang w:val="en-US" w:eastAsia="zh-CN"/>
              </w:rPr>
            </w:pPr>
            <w:r>
              <w:rPr>
                <w:rFonts w:hint="eastAsia" w:ascii="仿宋" w:hAnsi="仿宋" w:eastAsia="仿宋"/>
                <w:bCs/>
                <w:color w:val="auto"/>
                <w:kern w:val="0"/>
                <w:sz w:val="21"/>
                <w:szCs w:val="21"/>
              </w:rPr>
              <w:t>国家知识产权局</w:t>
            </w:r>
          </w:p>
        </w:tc>
        <w:tc>
          <w:tcPr>
            <w:tcW w:w="127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08E22ABD">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有效</w:t>
            </w:r>
          </w:p>
        </w:tc>
        <w:tc>
          <w:tcPr>
            <w:tcW w:w="11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773806EA">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否</w:t>
            </w:r>
          </w:p>
        </w:tc>
        <w:tc>
          <w:tcPr>
            <w:tcW w:w="618" w:type="dxa"/>
            <w:tcBorders>
              <w:top w:val="single" w:color="auto" w:sz="4" w:space="0"/>
              <w:left w:val="single" w:color="auto" w:sz="4" w:space="0"/>
              <w:bottom w:val="single" w:color="auto" w:sz="4" w:space="0"/>
              <w:right w:val="single" w:color="auto" w:sz="8" w:space="0"/>
            </w:tcBorders>
            <w:tcMar>
              <w:top w:w="0" w:type="dxa"/>
              <w:left w:w="57" w:type="dxa"/>
              <w:bottom w:w="0" w:type="dxa"/>
              <w:right w:w="57" w:type="dxa"/>
            </w:tcMar>
            <w:vAlign w:val="center"/>
          </w:tcPr>
          <w:p w14:paraId="74F6F693">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1-10</w:t>
            </w:r>
          </w:p>
        </w:tc>
      </w:tr>
      <w:tr w14:paraId="39CA0C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1134" w:hRule="atLeast"/>
          <w:jc w:val="center"/>
        </w:trPr>
        <w:tc>
          <w:tcPr>
            <w:tcW w:w="557" w:type="dxa"/>
            <w:tcBorders>
              <w:top w:val="single" w:color="auto" w:sz="4" w:space="0"/>
              <w:left w:val="single" w:color="auto" w:sz="8" w:space="0"/>
              <w:bottom w:val="single" w:color="auto" w:sz="4" w:space="0"/>
              <w:right w:val="single" w:color="auto" w:sz="4" w:space="0"/>
            </w:tcBorders>
            <w:tcMar>
              <w:top w:w="0" w:type="dxa"/>
              <w:left w:w="57" w:type="dxa"/>
              <w:bottom w:w="0" w:type="dxa"/>
              <w:right w:w="57" w:type="dxa"/>
            </w:tcMar>
            <w:vAlign w:val="center"/>
          </w:tcPr>
          <w:p w14:paraId="453A093A">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default" w:ascii="仿宋" w:hAnsi="仿宋" w:eastAsia="仿宋"/>
                <w:bCs/>
                <w:color w:val="auto"/>
                <w:kern w:val="0"/>
                <w:sz w:val="21"/>
                <w:szCs w:val="21"/>
                <w:lang w:val="en-US" w:eastAsia="zh-CN"/>
              </w:rPr>
            </w:pPr>
            <w:r>
              <w:rPr>
                <w:rFonts w:hint="eastAsia" w:hAnsi="仿宋" w:eastAsia="仿宋"/>
                <w:bCs/>
                <w:color w:val="auto"/>
                <w:kern w:val="0"/>
                <w:sz w:val="21"/>
                <w:szCs w:val="21"/>
                <w:lang w:val="en-US" w:eastAsia="zh-CN"/>
              </w:rPr>
              <w:t>10</w:t>
            </w:r>
          </w:p>
        </w:tc>
        <w:tc>
          <w:tcPr>
            <w:tcW w:w="70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298B2D83">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发明专利</w:t>
            </w:r>
          </w:p>
        </w:tc>
        <w:tc>
          <w:tcPr>
            <w:tcW w:w="2003"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4A8D5E54">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人工智能 预训练大模型训练与应用规范</w:t>
            </w:r>
          </w:p>
        </w:tc>
        <w:tc>
          <w:tcPr>
            <w:tcW w:w="1195"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37207090">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T/GXIE 011-2025</w:t>
            </w:r>
          </w:p>
        </w:tc>
        <w:tc>
          <w:tcPr>
            <w:tcW w:w="68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69D1FB29">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2025-05-05</w:t>
            </w:r>
          </w:p>
        </w:tc>
        <w:tc>
          <w:tcPr>
            <w:tcW w:w="2437"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5F7B0447">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白琳,张振荣,张春,翟玉兰,张茜,郑嘉利,邵文豪,兰伟,周磊,黄家柯,颜靖,邓彩蝶,胡永乐,罗汉炎,杨华生,伍祖德,李雅菁,王超,苏芳来,黄永彰,宁永珊,阳柳,刘定超,苏平,杨锴,雷建建,宫晓东,蔡堂华</w:t>
            </w:r>
          </w:p>
        </w:tc>
        <w:tc>
          <w:tcPr>
            <w:tcW w:w="232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4E5D1047">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广西大学计算机与电子信息学院,南宁市数据局,广西医科大学第一附属医院,华为技术有限公司,广西通信规划设计咨询有限公司</w:t>
            </w:r>
          </w:p>
        </w:tc>
        <w:tc>
          <w:tcPr>
            <w:tcW w:w="1134" w:type="dxa"/>
            <w:tcBorders>
              <w:top w:val="single" w:color="auto" w:sz="4" w:space="0"/>
              <w:left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36217FEA">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lang w:val="en-US" w:eastAsia="zh-CN"/>
              </w:rPr>
            </w:pPr>
            <w:r>
              <w:rPr>
                <w:rFonts w:hint="eastAsia" w:ascii="仿宋" w:hAnsi="仿宋" w:eastAsia="仿宋"/>
                <w:bCs/>
                <w:color w:val="auto"/>
                <w:kern w:val="0"/>
                <w:sz w:val="21"/>
                <w:szCs w:val="21"/>
              </w:rPr>
              <w:t>国家知识产权局</w:t>
            </w:r>
          </w:p>
        </w:tc>
        <w:tc>
          <w:tcPr>
            <w:tcW w:w="127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74229251">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有效</w:t>
            </w:r>
          </w:p>
        </w:tc>
        <w:tc>
          <w:tcPr>
            <w:tcW w:w="11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154D3EE4">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是</w:t>
            </w:r>
          </w:p>
        </w:tc>
        <w:tc>
          <w:tcPr>
            <w:tcW w:w="618" w:type="dxa"/>
            <w:tcBorders>
              <w:top w:val="single" w:color="auto" w:sz="4" w:space="0"/>
              <w:left w:val="single" w:color="auto" w:sz="4" w:space="0"/>
              <w:bottom w:val="single" w:color="auto" w:sz="4" w:space="0"/>
              <w:right w:val="single" w:color="auto" w:sz="8" w:space="0"/>
            </w:tcBorders>
            <w:tcMar>
              <w:top w:w="0" w:type="dxa"/>
              <w:left w:w="57" w:type="dxa"/>
              <w:bottom w:w="0" w:type="dxa"/>
              <w:right w:w="57" w:type="dxa"/>
            </w:tcMar>
            <w:vAlign w:val="center"/>
          </w:tcPr>
          <w:p w14:paraId="16502128">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1-12</w:t>
            </w:r>
          </w:p>
        </w:tc>
      </w:tr>
      <w:tr w14:paraId="41F57A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1134" w:hRule="atLeast"/>
          <w:jc w:val="center"/>
        </w:trPr>
        <w:tc>
          <w:tcPr>
            <w:tcW w:w="557" w:type="dxa"/>
            <w:tcBorders>
              <w:top w:val="single" w:color="auto" w:sz="4" w:space="0"/>
              <w:left w:val="single" w:color="auto" w:sz="8" w:space="0"/>
              <w:bottom w:val="single" w:color="auto" w:sz="4" w:space="0"/>
              <w:right w:val="single" w:color="auto" w:sz="4" w:space="0"/>
            </w:tcBorders>
            <w:tcMar>
              <w:top w:w="0" w:type="dxa"/>
              <w:left w:w="57" w:type="dxa"/>
              <w:bottom w:w="0" w:type="dxa"/>
              <w:right w:w="57" w:type="dxa"/>
            </w:tcMar>
            <w:vAlign w:val="center"/>
          </w:tcPr>
          <w:p w14:paraId="260A4C19">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default" w:ascii="仿宋" w:hAnsi="仿宋" w:eastAsia="仿宋"/>
                <w:bCs/>
                <w:color w:val="auto"/>
                <w:kern w:val="0"/>
                <w:sz w:val="21"/>
                <w:szCs w:val="21"/>
                <w:lang w:val="en-US" w:eastAsia="zh-CN"/>
              </w:rPr>
            </w:pPr>
            <w:r>
              <w:rPr>
                <w:rFonts w:hint="eastAsia" w:hAnsi="仿宋" w:eastAsia="仿宋"/>
                <w:bCs/>
                <w:color w:val="auto"/>
                <w:kern w:val="0"/>
                <w:sz w:val="21"/>
                <w:szCs w:val="21"/>
                <w:lang w:val="en-US" w:eastAsia="zh-CN"/>
              </w:rPr>
              <w:t>11</w:t>
            </w:r>
          </w:p>
        </w:tc>
        <w:tc>
          <w:tcPr>
            <w:tcW w:w="709"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6A058648">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发明专利</w:t>
            </w:r>
          </w:p>
        </w:tc>
        <w:tc>
          <w:tcPr>
            <w:tcW w:w="2003"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3E12806F">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基于分布式光纤的图乘法识别梁结构挠度方法</w:t>
            </w:r>
          </w:p>
        </w:tc>
        <w:tc>
          <w:tcPr>
            <w:tcW w:w="1195"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122139C6">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ZL202110647881.6</w:t>
            </w:r>
          </w:p>
        </w:tc>
        <w:tc>
          <w:tcPr>
            <w:tcW w:w="68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7298AA3C">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2023-03-17</w:t>
            </w:r>
          </w:p>
        </w:tc>
        <w:tc>
          <w:tcPr>
            <w:tcW w:w="2437"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482BCF8E">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谢开仲、吴斌、覃悦、周新文、梁栋、麻大利</w:t>
            </w:r>
          </w:p>
        </w:tc>
        <w:tc>
          <w:tcPr>
            <w:tcW w:w="232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5CF909DB">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广西大学</w:t>
            </w:r>
          </w:p>
        </w:tc>
        <w:tc>
          <w:tcPr>
            <w:tcW w:w="1134" w:type="dxa"/>
            <w:tcBorders>
              <w:top w:val="single" w:color="auto" w:sz="4" w:space="0"/>
              <w:left w:val="single" w:color="auto" w:sz="4" w:space="0"/>
              <w:bottom w:val="single" w:color="auto" w:sz="4" w:space="0"/>
              <w:right w:val="single" w:color="auto" w:sz="4" w:space="0"/>
            </w:tcBorders>
            <w:shd w:val="clear" w:color="auto" w:fill="auto"/>
            <w:tcMar>
              <w:top w:w="0" w:type="dxa"/>
              <w:left w:w="57" w:type="dxa"/>
              <w:bottom w:w="0" w:type="dxa"/>
              <w:right w:w="57" w:type="dxa"/>
            </w:tcMar>
            <w:vAlign w:val="center"/>
          </w:tcPr>
          <w:p w14:paraId="720AD397">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lang w:val="en-US" w:eastAsia="zh-CN"/>
              </w:rPr>
            </w:pPr>
            <w:r>
              <w:rPr>
                <w:rFonts w:hint="eastAsia" w:ascii="仿宋" w:hAnsi="仿宋" w:eastAsia="仿宋"/>
                <w:bCs/>
                <w:color w:val="auto"/>
                <w:kern w:val="0"/>
                <w:sz w:val="21"/>
                <w:szCs w:val="21"/>
              </w:rPr>
              <w:t>国家知识产权局</w:t>
            </w:r>
          </w:p>
        </w:tc>
        <w:tc>
          <w:tcPr>
            <w:tcW w:w="1276"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20C8D03A">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有效</w:t>
            </w:r>
          </w:p>
        </w:tc>
        <w:tc>
          <w:tcPr>
            <w:tcW w:w="11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446B26D9">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是</w:t>
            </w:r>
          </w:p>
        </w:tc>
        <w:tc>
          <w:tcPr>
            <w:tcW w:w="618" w:type="dxa"/>
            <w:tcBorders>
              <w:top w:val="single" w:color="auto" w:sz="4" w:space="0"/>
              <w:left w:val="single" w:color="auto" w:sz="4" w:space="0"/>
              <w:bottom w:val="single" w:color="auto" w:sz="4" w:space="0"/>
              <w:right w:val="single" w:color="auto" w:sz="8" w:space="0"/>
            </w:tcBorders>
            <w:tcMar>
              <w:top w:w="0" w:type="dxa"/>
              <w:left w:w="57" w:type="dxa"/>
              <w:bottom w:w="0" w:type="dxa"/>
              <w:right w:w="57" w:type="dxa"/>
            </w:tcMar>
            <w:vAlign w:val="center"/>
          </w:tcPr>
          <w:p w14:paraId="16BE39D4">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1-11</w:t>
            </w:r>
          </w:p>
        </w:tc>
      </w:tr>
      <w:tr w14:paraId="1B0435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1134" w:hRule="atLeast"/>
          <w:jc w:val="center"/>
        </w:trPr>
        <w:tc>
          <w:tcPr>
            <w:tcW w:w="557" w:type="dxa"/>
            <w:tcBorders>
              <w:top w:val="single" w:color="auto" w:sz="4" w:space="0"/>
              <w:left w:val="single" w:color="auto" w:sz="8" w:space="0"/>
              <w:bottom w:val="single" w:color="auto" w:sz="8" w:space="0"/>
              <w:right w:val="single" w:color="auto" w:sz="4" w:space="0"/>
            </w:tcBorders>
            <w:tcMar>
              <w:top w:w="0" w:type="dxa"/>
              <w:left w:w="57" w:type="dxa"/>
              <w:bottom w:w="0" w:type="dxa"/>
              <w:right w:w="57" w:type="dxa"/>
            </w:tcMar>
            <w:vAlign w:val="center"/>
          </w:tcPr>
          <w:p w14:paraId="5FFA2628">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default" w:ascii="仿宋" w:hAnsi="仿宋" w:eastAsia="仿宋"/>
                <w:bCs/>
                <w:color w:val="auto"/>
                <w:kern w:val="0"/>
                <w:sz w:val="21"/>
                <w:szCs w:val="21"/>
                <w:lang w:val="en-US" w:eastAsia="zh-CN"/>
              </w:rPr>
            </w:pPr>
            <w:r>
              <w:rPr>
                <w:rFonts w:hint="eastAsia" w:hAnsi="仿宋" w:eastAsia="仿宋"/>
                <w:bCs/>
                <w:color w:val="auto"/>
                <w:kern w:val="0"/>
                <w:sz w:val="21"/>
                <w:szCs w:val="21"/>
                <w:lang w:val="en-US" w:eastAsia="zh-CN"/>
              </w:rPr>
              <w:t>12</w:t>
            </w:r>
          </w:p>
        </w:tc>
        <w:tc>
          <w:tcPr>
            <w:tcW w:w="709" w:type="dxa"/>
            <w:tcBorders>
              <w:top w:val="single" w:color="auto" w:sz="4" w:space="0"/>
              <w:left w:val="single" w:color="auto" w:sz="4" w:space="0"/>
              <w:bottom w:val="single" w:color="auto" w:sz="8" w:space="0"/>
              <w:right w:val="single" w:color="auto" w:sz="4" w:space="0"/>
            </w:tcBorders>
            <w:tcMar>
              <w:top w:w="0" w:type="dxa"/>
              <w:left w:w="57" w:type="dxa"/>
              <w:bottom w:w="0" w:type="dxa"/>
              <w:right w:w="57" w:type="dxa"/>
            </w:tcMar>
            <w:vAlign w:val="center"/>
          </w:tcPr>
          <w:p w14:paraId="19280A07">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lang w:val="en-US" w:eastAsia="zh-CN"/>
              </w:rPr>
            </w:pPr>
            <w:r>
              <w:rPr>
                <w:rFonts w:hint="eastAsia" w:ascii="仿宋" w:hAnsi="仿宋" w:eastAsia="仿宋"/>
                <w:bCs/>
                <w:color w:val="auto"/>
                <w:kern w:val="0"/>
                <w:sz w:val="21"/>
                <w:szCs w:val="21"/>
              </w:rPr>
              <w:t>发明专利</w:t>
            </w:r>
          </w:p>
        </w:tc>
        <w:tc>
          <w:tcPr>
            <w:tcW w:w="2003" w:type="dxa"/>
            <w:tcBorders>
              <w:top w:val="single" w:color="auto" w:sz="4" w:space="0"/>
              <w:left w:val="single" w:color="auto" w:sz="4" w:space="0"/>
              <w:bottom w:val="single" w:color="auto" w:sz="8" w:space="0"/>
              <w:right w:val="single" w:color="auto" w:sz="4" w:space="0"/>
            </w:tcBorders>
            <w:tcMar>
              <w:top w:w="0" w:type="dxa"/>
              <w:left w:w="57" w:type="dxa"/>
              <w:bottom w:w="0" w:type="dxa"/>
              <w:right w:w="57" w:type="dxa"/>
            </w:tcMar>
            <w:vAlign w:val="center"/>
          </w:tcPr>
          <w:p w14:paraId="0AB9B4CD">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Path Finding Method and System for Multiple Levels of Shortest Routes Between Source Network Element and</w:t>
            </w:r>
            <w:r>
              <w:rPr>
                <w:rFonts w:hint="default" w:ascii="仿宋" w:hAnsi="仿宋" w:eastAsia="仿宋"/>
                <w:bCs/>
                <w:color w:val="auto"/>
                <w:kern w:val="0"/>
                <w:sz w:val="21"/>
                <w:szCs w:val="21"/>
              </w:rPr>
              <w:t> </w:t>
            </w:r>
            <w:r>
              <w:rPr>
                <w:rFonts w:hint="eastAsia" w:ascii="仿宋" w:hAnsi="仿宋" w:eastAsia="仿宋"/>
                <w:bCs/>
                <w:color w:val="auto"/>
                <w:kern w:val="0"/>
                <w:sz w:val="21"/>
                <w:szCs w:val="21"/>
              </w:rPr>
              <w:t>Sink</w:t>
            </w:r>
            <w:r>
              <w:rPr>
                <w:rFonts w:hint="default" w:ascii="仿宋" w:hAnsi="仿宋" w:eastAsia="仿宋"/>
                <w:bCs/>
                <w:color w:val="auto"/>
                <w:kern w:val="0"/>
                <w:sz w:val="21"/>
                <w:szCs w:val="21"/>
              </w:rPr>
              <w:t> Network Element</w:t>
            </w:r>
          </w:p>
        </w:tc>
        <w:tc>
          <w:tcPr>
            <w:tcW w:w="1195" w:type="dxa"/>
            <w:tcBorders>
              <w:top w:val="single" w:color="auto" w:sz="4" w:space="0"/>
              <w:left w:val="single" w:color="auto" w:sz="4" w:space="0"/>
              <w:bottom w:val="single" w:color="auto" w:sz="8" w:space="0"/>
              <w:right w:val="single" w:color="auto" w:sz="4" w:space="0"/>
            </w:tcBorders>
            <w:tcMar>
              <w:top w:w="0" w:type="dxa"/>
              <w:left w:w="57" w:type="dxa"/>
              <w:bottom w:w="0" w:type="dxa"/>
              <w:right w:w="57" w:type="dxa"/>
            </w:tcMar>
            <w:vAlign w:val="center"/>
          </w:tcPr>
          <w:p w14:paraId="7F4E58FC">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MY-194954-A</w:t>
            </w:r>
          </w:p>
        </w:tc>
        <w:tc>
          <w:tcPr>
            <w:tcW w:w="684" w:type="dxa"/>
            <w:tcBorders>
              <w:top w:val="single" w:color="auto" w:sz="4" w:space="0"/>
              <w:left w:val="single" w:color="auto" w:sz="4" w:space="0"/>
              <w:bottom w:val="single" w:color="auto" w:sz="8" w:space="0"/>
              <w:right w:val="single" w:color="auto" w:sz="4" w:space="0"/>
            </w:tcBorders>
            <w:tcMar>
              <w:top w:w="0" w:type="dxa"/>
              <w:left w:w="57" w:type="dxa"/>
              <w:bottom w:w="0" w:type="dxa"/>
              <w:right w:w="57" w:type="dxa"/>
            </w:tcMar>
            <w:vAlign w:val="center"/>
          </w:tcPr>
          <w:p w14:paraId="657865FC">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2022-12-28</w:t>
            </w:r>
          </w:p>
        </w:tc>
        <w:tc>
          <w:tcPr>
            <w:tcW w:w="2437" w:type="dxa"/>
            <w:tcBorders>
              <w:top w:val="single" w:color="auto" w:sz="4" w:space="0"/>
              <w:left w:val="single" w:color="auto" w:sz="4" w:space="0"/>
              <w:bottom w:val="single" w:color="auto" w:sz="8" w:space="0"/>
              <w:right w:val="single" w:color="auto" w:sz="4" w:space="0"/>
            </w:tcBorders>
            <w:tcMar>
              <w:top w:w="0" w:type="dxa"/>
              <w:left w:w="57" w:type="dxa"/>
              <w:bottom w:w="0" w:type="dxa"/>
              <w:right w:w="57" w:type="dxa"/>
            </w:tcMar>
            <w:vAlign w:val="center"/>
          </w:tcPr>
          <w:p w14:paraId="0AD6E757">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李澍（LI, SHU）,孙汉甫（SUN, HANFU）,吴平（WU, PING）</w:t>
            </w:r>
          </w:p>
        </w:tc>
        <w:tc>
          <w:tcPr>
            <w:tcW w:w="2328" w:type="dxa"/>
            <w:tcBorders>
              <w:top w:val="single" w:color="auto" w:sz="4" w:space="0"/>
              <w:left w:val="single" w:color="auto" w:sz="4" w:space="0"/>
              <w:bottom w:val="single" w:color="auto" w:sz="8" w:space="0"/>
              <w:right w:val="single" w:color="auto" w:sz="4" w:space="0"/>
            </w:tcBorders>
            <w:tcMar>
              <w:top w:w="0" w:type="dxa"/>
              <w:left w:w="57" w:type="dxa"/>
              <w:bottom w:w="0" w:type="dxa"/>
              <w:right w:w="57" w:type="dxa"/>
            </w:tcMar>
            <w:vAlign w:val="center"/>
          </w:tcPr>
          <w:p w14:paraId="6CBD0CC3">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烽火通信科技股份有限公司</w:t>
            </w:r>
          </w:p>
        </w:tc>
        <w:tc>
          <w:tcPr>
            <w:tcW w:w="1134" w:type="dxa"/>
            <w:tcBorders>
              <w:top w:val="single" w:color="auto" w:sz="4" w:space="0"/>
              <w:left w:val="single" w:color="auto" w:sz="4" w:space="0"/>
              <w:bottom w:val="single" w:color="auto" w:sz="8" w:space="0"/>
              <w:right w:val="single" w:color="auto" w:sz="4" w:space="0"/>
            </w:tcBorders>
            <w:shd w:val="clear" w:color="auto" w:fill="auto"/>
            <w:tcMar>
              <w:top w:w="0" w:type="dxa"/>
              <w:left w:w="57" w:type="dxa"/>
              <w:bottom w:w="0" w:type="dxa"/>
              <w:right w:w="57" w:type="dxa"/>
            </w:tcMar>
            <w:vAlign w:val="center"/>
          </w:tcPr>
          <w:p w14:paraId="08CF6C98">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lang w:val="en-US" w:eastAsia="zh-CN"/>
              </w:rPr>
            </w:pPr>
            <w:r>
              <w:rPr>
                <w:rFonts w:hint="eastAsia" w:ascii="仿宋" w:hAnsi="仿宋" w:eastAsia="仿宋"/>
                <w:bCs/>
                <w:color w:val="auto"/>
                <w:kern w:val="0"/>
                <w:sz w:val="21"/>
                <w:szCs w:val="21"/>
              </w:rPr>
              <w:t>国家知识产权局</w:t>
            </w:r>
          </w:p>
        </w:tc>
        <w:tc>
          <w:tcPr>
            <w:tcW w:w="1276" w:type="dxa"/>
            <w:tcBorders>
              <w:top w:val="single" w:color="auto" w:sz="4" w:space="0"/>
              <w:left w:val="single" w:color="auto" w:sz="4" w:space="0"/>
              <w:bottom w:val="single" w:color="auto" w:sz="8" w:space="0"/>
              <w:right w:val="single" w:color="auto" w:sz="4" w:space="0"/>
            </w:tcBorders>
            <w:tcMar>
              <w:top w:w="0" w:type="dxa"/>
              <w:left w:w="57" w:type="dxa"/>
              <w:bottom w:w="0" w:type="dxa"/>
              <w:right w:w="57" w:type="dxa"/>
            </w:tcMar>
            <w:vAlign w:val="center"/>
          </w:tcPr>
          <w:p w14:paraId="0912F713">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有效</w:t>
            </w:r>
          </w:p>
        </w:tc>
        <w:tc>
          <w:tcPr>
            <w:tcW w:w="1134" w:type="dxa"/>
            <w:tcBorders>
              <w:top w:val="single" w:color="auto" w:sz="4" w:space="0"/>
              <w:left w:val="single" w:color="auto" w:sz="4" w:space="0"/>
              <w:bottom w:val="single" w:color="auto" w:sz="8" w:space="0"/>
              <w:right w:val="single" w:color="auto" w:sz="4" w:space="0"/>
            </w:tcBorders>
            <w:tcMar>
              <w:top w:w="0" w:type="dxa"/>
              <w:left w:w="57" w:type="dxa"/>
              <w:bottom w:w="0" w:type="dxa"/>
              <w:right w:w="57" w:type="dxa"/>
            </w:tcMar>
            <w:vAlign w:val="center"/>
          </w:tcPr>
          <w:p w14:paraId="13A3860A">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否</w:t>
            </w:r>
          </w:p>
        </w:tc>
        <w:tc>
          <w:tcPr>
            <w:tcW w:w="618" w:type="dxa"/>
            <w:tcBorders>
              <w:top w:val="single" w:color="auto" w:sz="4" w:space="0"/>
              <w:left w:val="single" w:color="auto" w:sz="4" w:space="0"/>
              <w:bottom w:val="single" w:color="auto" w:sz="8" w:space="0"/>
              <w:right w:val="single" w:color="auto" w:sz="8" w:space="0"/>
            </w:tcBorders>
            <w:tcMar>
              <w:top w:w="0" w:type="dxa"/>
              <w:left w:w="57" w:type="dxa"/>
              <w:bottom w:w="0" w:type="dxa"/>
              <w:right w:w="57" w:type="dxa"/>
            </w:tcMar>
            <w:vAlign w:val="center"/>
          </w:tcPr>
          <w:p w14:paraId="63693B82">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仿宋" w:hAnsi="仿宋" w:eastAsia="仿宋"/>
                <w:bCs/>
                <w:color w:val="auto"/>
                <w:kern w:val="0"/>
                <w:sz w:val="21"/>
                <w:szCs w:val="21"/>
              </w:rPr>
            </w:pPr>
            <w:r>
              <w:rPr>
                <w:rFonts w:hint="eastAsia" w:ascii="仿宋" w:hAnsi="仿宋" w:eastAsia="仿宋"/>
                <w:bCs/>
                <w:color w:val="auto"/>
                <w:kern w:val="0"/>
                <w:sz w:val="21"/>
                <w:szCs w:val="21"/>
              </w:rPr>
              <w:t>1-9</w:t>
            </w:r>
          </w:p>
        </w:tc>
      </w:tr>
    </w:tbl>
    <w:p w14:paraId="52707DF5">
      <w:pPr>
        <w:widowControl w:val="0"/>
        <w:adjustRightInd w:val="0"/>
        <w:snapToGrid w:val="0"/>
        <w:spacing w:line="406" w:lineRule="exact"/>
        <w:jc w:val="center"/>
        <w:rPr>
          <w:rFonts w:hint="eastAsia" w:ascii="仿宋" w:hAnsi="仿宋" w:eastAsia="仿宋"/>
          <w:b/>
          <w:snapToGrid w:val="0"/>
          <w:color w:val="auto"/>
          <w:szCs w:val="32"/>
        </w:rPr>
      </w:pPr>
      <w:r>
        <w:rPr>
          <w:rFonts w:eastAsia="方正仿宋_GBK"/>
          <w:snapToGrid w:val="0"/>
          <w:color w:val="auto"/>
          <w:sz w:val="28"/>
          <w:szCs w:val="28"/>
        </w:rPr>
        <w:br w:type="page"/>
      </w:r>
      <w:bookmarkStart w:id="0" w:name="_Toc72834352"/>
      <w:bookmarkEnd w:id="0"/>
      <w:bookmarkStart w:id="1" w:name="_Toc70090948"/>
      <w:bookmarkEnd w:id="1"/>
      <w:bookmarkStart w:id="2" w:name="_Toc72832477"/>
      <w:r>
        <w:rPr>
          <w:rFonts w:hint="eastAsia" w:ascii="仿宋" w:hAnsi="仿宋" w:eastAsia="仿宋"/>
          <w:b/>
          <w:snapToGrid w:val="0"/>
          <w:color w:val="auto"/>
          <w:szCs w:val="32"/>
        </w:rPr>
        <w:t>二</w:t>
      </w:r>
      <w:r>
        <w:rPr>
          <w:rFonts w:ascii="仿宋" w:hAnsi="仿宋" w:eastAsia="仿宋"/>
          <w:b/>
          <w:snapToGrid w:val="0"/>
          <w:color w:val="auto"/>
          <w:szCs w:val="32"/>
        </w:rPr>
        <w:t>、科普作品目录（1部）</w:t>
      </w:r>
      <w:bookmarkEnd w:id="2"/>
    </w:p>
    <w:p w14:paraId="409D04C8">
      <w:pPr>
        <w:widowControl w:val="0"/>
        <w:adjustRightInd w:val="0"/>
        <w:snapToGrid w:val="0"/>
        <w:spacing w:line="406" w:lineRule="exact"/>
        <w:jc w:val="center"/>
        <w:rPr>
          <w:rFonts w:hint="eastAsia" w:ascii="仿宋" w:hAnsi="仿宋" w:eastAsia="仿宋"/>
          <w:b/>
          <w:snapToGrid w:val="0"/>
          <w:color w:val="auto"/>
          <w:szCs w:val="32"/>
        </w:rPr>
      </w:pPr>
      <w:r>
        <w:rPr>
          <w:rFonts w:ascii="仿宋" w:hAnsi="仿宋" w:eastAsia="仿宋"/>
          <w:b/>
          <w:snapToGrid w:val="0"/>
          <w:color w:val="auto"/>
          <w:szCs w:val="32"/>
        </w:rPr>
        <w:t>（适用于科学技术普及类）</w:t>
      </w:r>
    </w:p>
    <w:tbl>
      <w:tblPr>
        <w:tblStyle w:val="7"/>
        <w:tblW w:w="140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7"/>
        <w:gridCol w:w="2892"/>
        <w:gridCol w:w="992"/>
        <w:gridCol w:w="1134"/>
        <w:gridCol w:w="1134"/>
        <w:gridCol w:w="1843"/>
        <w:gridCol w:w="1276"/>
        <w:gridCol w:w="1417"/>
        <w:gridCol w:w="1701"/>
        <w:gridCol w:w="993"/>
      </w:tblGrid>
      <w:tr w14:paraId="54AE0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7" w:type="dxa"/>
            <w:tcBorders>
              <w:top w:val="single" w:color="auto" w:sz="4" w:space="0"/>
              <w:left w:val="single" w:color="auto" w:sz="4" w:space="0"/>
              <w:bottom w:val="single" w:color="auto" w:sz="4" w:space="0"/>
              <w:right w:val="single" w:color="auto" w:sz="4" w:space="0"/>
            </w:tcBorders>
            <w:vAlign w:val="center"/>
          </w:tcPr>
          <w:p w14:paraId="62CD5242">
            <w:pPr>
              <w:widowControl w:val="0"/>
              <w:adjustRightInd w:val="0"/>
              <w:snapToGrid w:val="0"/>
              <w:spacing w:line="320" w:lineRule="exact"/>
              <w:jc w:val="center"/>
              <w:rPr>
                <w:rFonts w:eastAsia="方正黑体_GBK"/>
                <w:snapToGrid w:val="0"/>
                <w:color w:val="auto"/>
                <w:sz w:val="18"/>
                <w:szCs w:val="18"/>
              </w:rPr>
            </w:pPr>
            <w:r>
              <w:rPr>
                <w:rFonts w:eastAsia="方正黑体_GBK"/>
                <w:snapToGrid w:val="0"/>
                <w:color w:val="auto"/>
                <w:sz w:val="18"/>
                <w:szCs w:val="18"/>
              </w:rPr>
              <w:t>序号</w:t>
            </w:r>
          </w:p>
        </w:tc>
        <w:tc>
          <w:tcPr>
            <w:tcW w:w="2892" w:type="dxa"/>
            <w:tcBorders>
              <w:top w:val="single" w:color="auto" w:sz="4" w:space="0"/>
              <w:left w:val="nil"/>
              <w:bottom w:val="single" w:color="auto" w:sz="4" w:space="0"/>
              <w:right w:val="single" w:color="auto" w:sz="4" w:space="0"/>
            </w:tcBorders>
            <w:vAlign w:val="center"/>
          </w:tcPr>
          <w:p w14:paraId="79D99380">
            <w:pPr>
              <w:widowControl w:val="0"/>
              <w:adjustRightInd w:val="0"/>
              <w:snapToGrid w:val="0"/>
              <w:spacing w:line="320" w:lineRule="exact"/>
              <w:jc w:val="center"/>
              <w:rPr>
                <w:rFonts w:eastAsia="方正黑体_GBK"/>
                <w:snapToGrid w:val="0"/>
                <w:color w:val="auto"/>
                <w:sz w:val="18"/>
                <w:szCs w:val="18"/>
              </w:rPr>
            </w:pPr>
            <w:r>
              <w:rPr>
                <w:rFonts w:eastAsia="方正黑体_GBK"/>
                <w:snapToGrid w:val="0"/>
                <w:color w:val="auto"/>
                <w:sz w:val="18"/>
                <w:szCs w:val="18"/>
              </w:rPr>
              <w:t>科普作品名称</w:t>
            </w:r>
          </w:p>
        </w:tc>
        <w:tc>
          <w:tcPr>
            <w:tcW w:w="992" w:type="dxa"/>
            <w:tcBorders>
              <w:top w:val="single" w:color="auto" w:sz="4" w:space="0"/>
              <w:left w:val="nil"/>
              <w:bottom w:val="single" w:color="auto" w:sz="4" w:space="0"/>
              <w:right w:val="single" w:color="auto" w:sz="4" w:space="0"/>
            </w:tcBorders>
            <w:vAlign w:val="center"/>
          </w:tcPr>
          <w:p w14:paraId="2AFC9A6D">
            <w:pPr>
              <w:widowControl w:val="0"/>
              <w:adjustRightInd w:val="0"/>
              <w:snapToGrid w:val="0"/>
              <w:spacing w:line="320" w:lineRule="exact"/>
              <w:jc w:val="center"/>
              <w:rPr>
                <w:rFonts w:eastAsia="方正黑体_GBK"/>
                <w:snapToGrid w:val="0"/>
                <w:color w:val="auto"/>
                <w:sz w:val="18"/>
                <w:szCs w:val="18"/>
              </w:rPr>
            </w:pPr>
            <w:r>
              <w:rPr>
                <w:rFonts w:eastAsia="方正黑体_GBK"/>
                <w:snapToGrid w:val="0"/>
                <w:color w:val="auto"/>
                <w:sz w:val="18"/>
                <w:szCs w:val="18"/>
              </w:rPr>
              <w:t>版号</w:t>
            </w:r>
          </w:p>
        </w:tc>
        <w:tc>
          <w:tcPr>
            <w:tcW w:w="1134" w:type="dxa"/>
            <w:tcBorders>
              <w:top w:val="single" w:color="auto" w:sz="4" w:space="0"/>
              <w:left w:val="nil"/>
              <w:bottom w:val="single" w:color="auto" w:sz="4" w:space="0"/>
              <w:right w:val="single" w:color="auto" w:sz="4" w:space="0"/>
            </w:tcBorders>
            <w:vAlign w:val="center"/>
          </w:tcPr>
          <w:p w14:paraId="37BD0411">
            <w:pPr>
              <w:widowControl w:val="0"/>
              <w:adjustRightInd w:val="0"/>
              <w:snapToGrid w:val="0"/>
              <w:spacing w:line="320" w:lineRule="exact"/>
              <w:jc w:val="center"/>
              <w:rPr>
                <w:rFonts w:eastAsia="方正黑体_GBK"/>
                <w:snapToGrid w:val="0"/>
                <w:color w:val="auto"/>
                <w:sz w:val="18"/>
                <w:szCs w:val="18"/>
              </w:rPr>
            </w:pPr>
            <w:r>
              <w:rPr>
                <w:rFonts w:eastAsia="方正黑体_GBK"/>
                <w:snapToGrid w:val="0"/>
                <w:color w:val="auto"/>
                <w:sz w:val="18"/>
                <w:szCs w:val="18"/>
              </w:rPr>
              <w:t>作者</w:t>
            </w:r>
          </w:p>
        </w:tc>
        <w:tc>
          <w:tcPr>
            <w:tcW w:w="1134" w:type="dxa"/>
            <w:tcBorders>
              <w:top w:val="single" w:color="auto" w:sz="4" w:space="0"/>
              <w:left w:val="nil"/>
              <w:bottom w:val="single" w:color="auto" w:sz="4" w:space="0"/>
              <w:right w:val="single" w:color="auto" w:sz="4" w:space="0"/>
            </w:tcBorders>
            <w:vAlign w:val="center"/>
          </w:tcPr>
          <w:p w14:paraId="6951CA0E">
            <w:pPr>
              <w:widowControl w:val="0"/>
              <w:adjustRightInd w:val="0"/>
              <w:snapToGrid w:val="0"/>
              <w:spacing w:line="320" w:lineRule="exact"/>
              <w:jc w:val="center"/>
              <w:rPr>
                <w:rFonts w:eastAsia="方正黑体_GBK"/>
                <w:snapToGrid w:val="0"/>
                <w:color w:val="auto"/>
                <w:sz w:val="18"/>
                <w:szCs w:val="18"/>
              </w:rPr>
            </w:pPr>
            <w:r>
              <w:rPr>
                <w:rFonts w:eastAsia="方正黑体_GBK"/>
                <w:snapToGrid w:val="0"/>
                <w:color w:val="auto"/>
                <w:sz w:val="18"/>
                <w:szCs w:val="18"/>
              </w:rPr>
              <w:t>出版时间（年月日）</w:t>
            </w:r>
          </w:p>
        </w:tc>
        <w:tc>
          <w:tcPr>
            <w:tcW w:w="1843" w:type="dxa"/>
            <w:tcBorders>
              <w:top w:val="single" w:color="auto" w:sz="4" w:space="0"/>
              <w:left w:val="nil"/>
              <w:bottom w:val="single" w:color="auto" w:sz="4" w:space="0"/>
              <w:right w:val="single" w:color="auto" w:sz="4" w:space="0"/>
            </w:tcBorders>
            <w:vAlign w:val="center"/>
          </w:tcPr>
          <w:p w14:paraId="01C158AD">
            <w:pPr>
              <w:widowControl w:val="0"/>
              <w:adjustRightInd w:val="0"/>
              <w:snapToGrid w:val="0"/>
              <w:spacing w:line="320" w:lineRule="exact"/>
              <w:jc w:val="center"/>
              <w:rPr>
                <w:rFonts w:eastAsia="方正黑体_GBK"/>
                <w:snapToGrid w:val="0"/>
                <w:color w:val="auto"/>
                <w:sz w:val="18"/>
                <w:szCs w:val="18"/>
              </w:rPr>
            </w:pPr>
            <w:r>
              <w:rPr>
                <w:rFonts w:eastAsia="方正黑体_GBK"/>
                <w:snapToGrid w:val="0"/>
                <w:color w:val="auto"/>
                <w:sz w:val="18"/>
                <w:szCs w:val="18"/>
              </w:rPr>
              <w:t>出版单位</w:t>
            </w:r>
          </w:p>
        </w:tc>
        <w:tc>
          <w:tcPr>
            <w:tcW w:w="1276" w:type="dxa"/>
            <w:tcBorders>
              <w:top w:val="single" w:color="auto" w:sz="4" w:space="0"/>
              <w:left w:val="nil"/>
              <w:bottom w:val="single" w:color="auto" w:sz="4" w:space="0"/>
              <w:right w:val="single" w:color="auto" w:sz="4" w:space="0"/>
            </w:tcBorders>
            <w:vAlign w:val="center"/>
          </w:tcPr>
          <w:p w14:paraId="7173934D">
            <w:pPr>
              <w:widowControl w:val="0"/>
              <w:adjustRightInd w:val="0"/>
              <w:snapToGrid w:val="0"/>
              <w:spacing w:line="320" w:lineRule="exact"/>
              <w:jc w:val="center"/>
              <w:rPr>
                <w:rFonts w:eastAsia="方正黑体_GBK"/>
                <w:snapToGrid w:val="0"/>
                <w:color w:val="auto"/>
                <w:sz w:val="18"/>
                <w:szCs w:val="18"/>
              </w:rPr>
            </w:pPr>
            <w:r>
              <w:rPr>
                <w:rFonts w:eastAsia="方正黑体_GBK"/>
                <w:snapToGrid w:val="0"/>
                <w:color w:val="auto"/>
                <w:sz w:val="18"/>
                <w:szCs w:val="18"/>
              </w:rPr>
              <w:t>是否为丛书（系列）</w:t>
            </w:r>
          </w:p>
        </w:tc>
        <w:tc>
          <w:tcPr>
            <w:tcW w:w="1417" w:type="dxa"/>
            <w:tcBorders>
              <w:top w:val="single" w:color="auto" w:sz="4" w:space="0"/>
              <w:left w:val="nil"/>
              <w:bottom w:val="single" w:color="auto" w:sz="4" w:space="0"/>
              <w:right w:val="single" w:color="auto" w:sz="4" w:space="0"/>
            </w:tcBorders>
            <w:vAlign w:val="center"/>
          </w:tcPr>
          <w:p w14:paraId="79E6E27D">
            <w:pPr>
              <w:widowControl w:val="0"/>
              <w:adjustRightInd w:val="0"/>
              <w:snapToGrid w:val="0"/>
              <w:spacing w:line="320" w:lineRule="exact"/>
              <w:jc w:val="center"/>
              <w:rPr>
                <w:rFonts w:eastAsia="方正黑体_GBK"/>
                <w:snapToGrid w:val="0"/>
                <w:color w:val="auto"/>
                <w:sz w:val="18"/>
                <w:szCs w:val="18"/>
              </w:rPr>
            </w:pPr>
            <w:r>
              <w:rPr>
                <w:rFonts w:eastAsia="方正黑体_GBK"/>
                <w:snapToGrid w:val="0"/>
                <w:color w:val="auto"/>
                <w:sz w:val="18"/>
                <w:szCs w:val="18"/>
              </w:rPr>
              <w:t>丛书（系列）</w:t>
            </w:r>
          </w:p>
          <w:p w14:paraId="298BCD5F">
            <w:pPr>
              <w:widowControl w:val="0"/>
              <w:adjustRightInd w:val="0"/>
              <w:snapToGrid w:val="0"/>
              <w:spacing w:line="320" w:lineRule="exact"/>
              <w:jc w:val="center"/>
              <w:rPr>
                <w:rFonts w:eastAsia="方正黑体_GBK"/>
                <w:snapToGrid w:val="0"/>
                <w:color w:val="auto"/>
                <w:sz w:val="18"/>
                <w:szCs w:val="18"/>
              </w:rPr>
            </w:pPr>
            <w:r>
              <w:rPr>
                <w:rFonts w:eastAsia="方正黑体_GBK"/>
                <w:snapToGrid w:val="0"/>
                <w:color w:val="auto"/>
                <w:sz w:val="18"/>
                <w:szCs w:val="18"/>
              </w:rPr>
              <w:t>数量</w:t>
            </w:r>
          </w:p>
        </w:tc>
        <w:tc>
          <w:tcPr>
            <w:tcW w:w="1701" w:type="dxa"/>
            <w:tcBorders>
              <w:top w:val="single" w:color="auto" w:sz="4" w:space="0"/>
              <w:left w:val="nil"/>
              <w:bottom w:val="single" w:color="auto" w:sz="4" w:space="0"/>
              <w:right w:val="single" w:color="auto" w:sz="4" w:space="0"/>
            </w:tcBorders>
            <w:vAlign w:val="center"/>
          </w:tcPr>
          <w:p w14:paraId="73528801">
            <w:pPr>
              <w:widowControl w:val="0"/>
              <w:adjustRightInd w:val="0"/>
              <w:snapToGrid w:val="0"/>
              <w:spacing w:line="320" w:lineRule="exact"/>
              <w:jc w:val="center"/>
              <w:rPr>
                <w:rFonts w:eastAsia="方正黑体_GBK"/>
                <w:snapToGrid w:val="0"/>
                <w:color w:val="auto"/>
                <w:sz w:val="18"/>
                <w:szCs w:val="18"/>
              </w:rPr>
            </w:pPr>
            <w:r>
              <w:rPr>
                <w:rFonts w:eastAsia="方正黑体_GBK"/>
                <w:snapToGrid w:val="0"/>
                <w:color w:val="auto"/>
                <w:sz w:val="18"/>
                <w:szCs w:val="18"/>
              </w:rPr>
              <w:t>广西单位或工作个人是否为著作权人</w:t>
            </w:r>
          </w:p>
        </w:tc>
        <w:tc>
          <w:tcPr>
            <w:tcW w:w="993" w:type="dxa"/>
            <w:tcBorders>
              <w:top w:val="single" w:color="auto" w:sz="4" w:space="0"/>
              <w:left w:val="nil"/>
              <w:bottom w:val="single" w:color="auto" w:sz="4" w:space="0"/>
              <w:right w:val="single" w:color="auto" w:sz="4" w:space="0"/>
            </w:tcBorders>
            <w:vAlign w:val="center"/>
          </w:tcPr>
          <w:p w14:paraId="40388E0B">
            <w:pPr>
              <w:widowControl w:val="0"/>
              <w:adjustRightInd w:val="0"/>
              <w:snapToGrid w:val="0"/>
              <w:spacing w:line="320" w:lineRule="exact"/>
              <w:jc w:val="center"/>
              <w:rPr>
                <w:rFonts w:eastAsia="方正黑体_GBK"/>
                <w:snapToGrid w:val="0"/>
                <w:color w:val="auto"/>
                <w:sz w:val="18"/>
                <w:szCs w:val="18"/>
              </w:rPr>
            </w:pPr>
            <w:r>
              <w:rPr>
                <w:rFonts w:eastAsia="方正黑体_GBK"/>
                <w:snapToGrid w:val="0"/>
                <w:color w:val="auto"/>
                <w:sz w:val="18"/>
                <w:szCs w:val="18"/>
              </w:rPr>
              <w:t>附件编号</w:t>
            </w:r>
          </w:p>
        </w:tc>
      </w:tr>
      <w:tr w14:paraId="31560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0" w:hRule="atLeast"/>
        </w:trPr>
        <w:tc>
          <w:tcPr>
            <w:tcW w:w="647" w:type="dxa"/>
            <w:tcBorders>
              <w:top w:val="single" w:color="auto" w:sz="4" w:space="0"/>
              <w:left w:val="single" w:color="auto" w:sz="4" w:space="0"/>
              <w:bottom w:val="single" w:color="auto" w:sz="4" w:space="0"/>
              <w:right w:val="single" w:color="auto" w:sz="4" w:space="0"/>
            </w:tcBorders>
            <w:vAlign w:val="center"/>
          </w:tcPr>
          <w:p w14:paraId="32BFA47D">
            <w:pPr>
              <w:widowControl w:val="0"/>
              <w:adjustRightInd w:val="0"/>
              <w:snapToGrid w:val="0"/>
              <w:spacing w:line="320" w:lineRule="exact"/>
              <w:jc w:val="center"/>
              <w:rPr>
                <w:rFonts w:eastAsia="方正仿宋_GBK"/>
                <w:snapToGrid w:val="0"/>
                <w:color w:val="auto"/>
                <w:sz w:val="18"/>
                <w:szCs w:val="18"/>
              </w:rPr>
            </w:pPr>
          </w:p>
        </w:tc>
        <w:tc>
          <w:tcPr>
            <w:tcW w:w="2892" w:type="dxa"/>
            <w:tcBorders>
              <w:top w:val="single" w:color="auto" w:sz="4" w:space="0"/>
              <w:left w:val="nil"/>
              <w:bottom w:val="single" w:color="auto" w:sz="4" w:space="0"/>
              <w:right w:val="single" w:color="auto" w:sz="4" w:space="0"/>
            </w:tcBorders>
            <w:vAlign w:val="center"/>
          </w:tcPr>
          <w:p w14:paraId="7D161B02">
            <w:pPr>
              <w:widowControl w:val="0"/>
              <w:adjustRightInd w:val="0"/>
              <w:snapToGrid w:val="0"/>
              <w:spacing w:line="320" w:lineRule="exact"/>
              <w:jc w:val="both"/>
              <w:rPr>
                <w:rFonts w:eastAsia="方正仿宋_GBK"/>
                <w:snapToGrid w:val="0"/>
                <w:color w:val="auto"/>
                <w:sz w:val="18"/>
                <w:szCs w:val="18"/>
              </w:rPr>
            </w:pPr>
          </w:p>
        </w:tc>
        <w:tc>
          <w:tcPr>
            <w:tcW w:w="992" w:type="dxa"/>
            <w:tcBorders>
              <w:top w:val="single" w:color="auto" w:sz="4" w:space="0"/>
              <w:left w:val="nil"/>
              <w:bottom w:val="single" w:color="auto" w:sz="4" w:space="0"/>
              <w:right w:val="single" w:color="auto" w:sz="4" w:space="0"/>
            </w:tcBorders>
            <w:vAlign w:val="center"/>
          </w:tcPr>
          <w:p w14:paraId="5417267E">
            <w:pPr>
              <w:widowControl w:val="0"/>
              <w:adjustRightInd w:val="0"/>
              <w:snapToGrid w:val="0"/>
              <w:spacing w:line="320" w:lineRule="exact"/>
              <w:jc w:val="both"/>
              <w:rPr>
                <w:rFonts w:eastAsia="方正仿宋_GBK"/>
                <w:snapToGrid w:val="0"/>
                <w:color w:val="auto"/>
                <w:sz w:val="18"/>
                <w:szCs w:val="18"/>
              </w:rPr>
            </w:pPr>
          </w:p>
        </w:tc>
        <w:tc>
          <w:tcPr>
            <w:tcW w:w="1134" w:type="dxa"/>
            <w:tcBorders>
              <w:top w:val="single" w:color="auto" w:sz="4" w:space="0"/>
              <w:left w:val="nil"/>
              <w:bottom w:val="single" w:color="auto" w:sz="4" w:space="0"/>
              <w:right w:val="single" w:color="auto" w:sz="4" w:space="0"/>
            </w:tcBorders>
            <w:vAlign w:val="center"/>
          </w:tcPr>
          <w:p w14:paraId="172C98E7">
            <w:pPr>
              <w:widowControl w:val="0"/>
              <w:adjustRightInd w:val="0"/>
              <w:snapToGrid w:val="0"/>
              <w:spacing w:line="320" w:lineRule="exact"/>
              <w:jc w:val="both"/>
              <w:rPr>
                <w:rFonts w:eastAsia="方正仿宋_GBK"/>
                <w:snapToGrid w:val="0"/>
                <w:color w:val="auto"/>
                <w:sz w:val="18"/>
                <w:szCs w:val="18"/>
              </w:rPr>
            </w:pPr>
          </w:p>
        </w:tc>
        <w:tc>
          <w:tcPr>
            <w:tcW w:w="1134" w:type="dxa"/>
            <w:tcBorders>
              <w:top w:val="single" w:color="auto" w:sz="4" w:space="0"/>
              <w:left w:val="nil"/>
              <w:bottom w:val="single" w:color="auto" w:sz="4" w:space="0"/>
              <w:right w:val="single" w:color="auto" w:sz="4" w:space="0"/>
            </w:tcBorders>
            <w:vAlign w:val="center"/>
          </w:tcPr>
          <w:p w14:paraId="24F28354">
            <w:pPr>
              <w:widowControl w:val="0"/>
              <w:adjustRightInd w:val="0"/>
              <w:snapToGrid w:val="0"/>
              <w:spacing w:line="320" w:lineRule="exact"/>
              <w:jc w:val="both"/>
              <w:rPr>
                <w:rFonts w:eastAsia="方正仿宋_GBK"/>
                <w:snapToGrid w:val="0"/>
                <w:color w:val="auto"/>
                <w:sz w:val="18"/>
                <w:szCs w:val="18"/>
              </w:rPr>
            </w:pPr>
          </w:p>
        </w:tc>
        <w:tc>
          <w:tcPr>
            <w:tcW w:w="1843" w:type="dxa"/>
            <w:tcBorders>
              <w:top w:val="single" w:color="auto" w:sz="4" w:space="0"/>
              <w:left w:val="nil"/>
              <w:bottom w:val="single" w:color="auto" w:sz="4" w:space="0"/>
              <w:right w:val="single" w:color="auto" w:sz="4" w:space="0"/>
            </w:tcBorders>
            <w:vAlign w:val="center"/>
          </w:tcPr>
          <w:p w14:paraId="06A4E3D8">
            <w:pPr>
              <w:widowControl w:val="0"/>
              <w:adjustRightInd w:val="0"/>
              <w:snapToGrid w:val="0"/>
              <w:spacing w:line="320" w:lineRule="exact"/>
              <w:jc w:val="both"/>
              <w:rPr>
                <w:rFonts w:eastAsia="方正仿宋_GBK"/>
                <w:snapToGrid w:val="0"/>
                <w:color w:val="auto"/>
                <w:sz w:val="18"/>
                <w:szCs w:val="18"/>
              </w:rPr>
            </w:pPr>
          </w:p>
        </w:tc>
        <w:tc>
          <w:tcPr>
            <w:tcW w:w="1276" w:type="dxa"/>
            <w:tcBorders>
              <w:top w:val="single" w:color="auto" w:sz="4" w:space="0"/>
              <w:left w:val="nil"/>
              <w:bottom w:val="single" w:color="auto" w:sz="4" w:space="0"/>
              <w:right w:val="single" w:color="auto" w:sz="4" w:space="0"/>
            </w:tcBorders>
            <w:vAlign w:val="center"/>
          </w:tcPr>
          <w:p w14:paraId="7EC57D07">
            <w:pPr>
              <w:widowControl w:val="0"/>
              <w:adjustRightInd w:val="0"/>
              <w:snapToGrid w:val="0"/>
              <w:spacing w:line="320" w:lineRule="exact"/>
              <w:jc w:val="both"/>
              <w:rPr>
                <w:rFonts w:eastAsia="方正仿宋_GBK"/>
                <w:snapToGrid w:val="0"/>
                <w:color w:val="auto"/>
                <w:sz w:val="18"/>
                <w:szCs w:val="18"/>
              </w:rPr>
            </w:pPr>
          </w:p>
        </w:tc>
        <w:tc>
          <w:tcPr>
            <w:tcW w:w="1417" w:type="dxa"/>
            <w:tcBorders>
              <w:top w:val="single" w:color="auto" w:sz="4" w:space="0"/>
              <w:left w:val="nil"/>
              <w:bottom w:val="single" w:color="auto" w:sz="4" w:space="0"/>
              <w:right w:val="single" w:color="auto" w:sz="4" w:space="0"/>
            </w:tcBorders>
            <w:vAlign w:val="center"/>
          </w:tcPr>
          <w:p w14:paraId="795A7225">
            <w:pPr>
              <w:widowControl w:val="0"/>
              <w:adjustRightInd w:val="0"/>
              <w:snapToGrid w:val="0"/>
              <w:spacing w:line="320" w:lineRule="exact"/>
              <w:jc w:val="both"/>
              <w:rPr>
                <w:rFonts w:eastAsia="方正仿宋_GBK"/>
                <w:snapToGrid w:val="0"/>
                <w:color w:val="auto"/>
                <w:sz w:val="18"/>
                <w:szCs w:val="18"/>
              </w:rPr>
            </w:pPr>
          </w:p>
        </w:tc>
        <w:tc>
          <w:tcPr>
            <w:tcW w:w="1701" w:type="dxa"/>
            <w:tcBorders>
              <w:top w:val="single" w:color="auto" w:sz="4" w:space="0"/>
              <w:left w:val="nil"/>
              <w:bottom w:val="single" w:color="auto" w:sz="4" w:space="0"/>
              <w:right w:val="single" w:color="auto" w:sz="4" w:space="0"/>
            </w:tcBorders>
            <w:vAlign w:val="center"/>
          </w:tcPr>
          <w:p w14:paraId="1DD9F858">
            <w:pPr>
              <w:widowControl w:val="0"/>
              <w:adjustRightInd w:val="0"/>
              <w:snapToGrid w:val="0"/>
              <w:spacing w:line="320" w:lineRule="exact"/>
              <w:jc w:val="both"/>
              <w:rPr>
                <w:rFonts w:eastAsia="方正仿宋_GBK"/>
                <w:snapToGrid w:val="0"/>
                <w:color w:val="auto"/>
                <w:sz w:val="18"/>
                <w:szCs w:val="18"/>
              </w:rPr>
            </w:pPr>
          </w:p>
        </w:tc>
        <w:tc>
          <w:tcPr>
            <w:tcW w:w="993" w:type="dxa"/>
            <w:tcBorders>
              <w:top w:val="single" w:color="auto" w:sz="4" w:space="0"/>
              <w:left w:val="nil"/>
              <w:bottom w:val="single" w:color="auto" w:sz="4" w:space="0"/>
              <w:right w:val="single" w:color="auto" w:sz="4" w:space="0"/>
            </w:tcBorders>
            <w:vAlign w:val="center"/>
          </w:tcPr>
          <w:p w14:paraId="4E190808">
            <w:pPr>
              <w:widowControl w:val="0"/>
              <w:adjustRightInd w:val="0"/>
              <w:snapToGrid w:val="0"/>
              <w:spacing w:line="320" w:lineRule="exact"/>
              <w:jc w:val="both"/>
              <w:rPr>
                <w:rFonts w:eastAsia="方正仿宋_GBK"/>
                <w:snapToGrid w:val="0"/>
                <w:color w:val="auto"/>
                <w:sz w:val="18"/>
                <w:szCs w:val="18"/>
              </w:rPr>
            </w:pPr>
          </w:p>
        </w:tc>
      </w:tr>
    </w:tbl>
    <w:p w14:paraId="4B58A103">
      <w:pPr>
        <w:widowControl w:val="0"/>
        <w:adjustRightInd w:val="0"/>
        <w:snapToGrid w:val="0"/>
        <w:spacing w:line="406" w:lineRule="exact"/>
        <w:jc w:val="both"/>
        <w:rPr>
          <w:rFonts w:eastAsia="方正仿宋_GBK"/>
          <w:snapToGrid w:val="0"/>
          <w:color w:val="auto"/>
          <w:sz w:val="28"/>
          <w:szCs w:val="28"/>
        </w:rPr>
      </w:pPr>
      <w:r>
        <w:rPr>
          <w:rFonts w:eastAsia="方正仿宋_GBK"/>
          <w:snapToGrid w:val="0"/>
          <w:color w:val="auto"/>
          <w:sz w:val="28"/>
          <w:szCs w:val="28"/>
        </w:rPr>
        <w:t xml:space="preserve"> </w:t>
      </w:r>
    </w:p>
    <w:p w14:paraId="2225D6E5">
      <w:pPr>
        <w:ind w:firstLine="5040" w:firstLineChars="1800"/>
        <w:rPr>
          <w:rFonts w:hint="eastAsia" w:ascii="仿宋" w:hAnsi="仿宋" w:eastAsia="仿宋"/>
          <w:b/>
          <w:bCs/>
          <w:color w:val="auto"/>
        </w:rPr>
      </w:pPr>
      <w:r>
        <w:rPr>
          <w:rFonts w:eastAsia="方正仿宋_GBK"/>
          <w:snapToGrid w:val="0"/>
          <w:color w:val="auto"/>
          <w:sz w:val="28"/>
          <w:szCs w:val="28"/>
        </w:rPr>
        <w:br w:type="page"/>
      </w:r>
    </w:p>
    <w:p w14:paraId="20B1CAC3">
      <w:pPr>
        <w:jc w:val="center"/>
        <w:rPr>
          <w:rFonts w:hint="eastAsia" w:ascii="仿宋" w:hAnsi="仿宋" w:eastAsia="仿宋"/>
          <w:b/>
          <w:bCs/>
          <w:color w:val="auto"/>
        </w:rPr>
      </w:pPr>
      <w:r>
        <w:rPr>
          <w:rFonts w:hint="eastAsia" w:ascii="仿宋" w:hAnsi="仿宋" w:eastAsia="仿宋"/>
          <w:b/>
          <w:bCs/>
          <w:color w:val="auto"/>
        </w:rPr>
        <w:t>三、候选个人合作情况</w:t>
      </w:r>
    </w:p>
    <w:tbl>
      <w:tblPr>
        <w:tblStyle w:val="18"/>
        <w:tblW w:w="0" w:type="auto"/>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95"/>
      </w:tblGrid>
      <w:tr w14:paraId="0B5FE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4" w:hRule="atLeast"/>
        </w:trPr>
        <w:tc>
          <w:tcPr>
            <w:tcW w:w="14095" w:type="dxa"/>
          </w:tcPr>
          <w:p w14:paraId="5FBC5DD3">
            <w:pPr>
              <w:widowControl w:val="0"/>
              <w:adjustRightInd w:val="0"/>
              <w:snapToGrid w:val="0"/>
              <w:spacing w:line="406" w:lineRule="exact"/>
              <w:jc w:val="center"/>
              <w:rPr>
                <w:rFonts w:eastAsia="方正黑体_GBK"/>
                <w:snapToGrid w:val="0"/>
                <w:color w:val="auto"/>
                <w:kern w:val="0"/>
                <w:sz w:val="28"/>
                <w:szCs w:val="28"/>
              </w:rPr>
            </w:pPr>
            <w:r>
              <w:rPr>
                <w:rFonts w:eastAsia="方正黑体_GBK"/>
                <w:snapToGrid w:val="0"/>
                <w:color w:val="auto"/>
                <w:kern w:val="0"/>
                <w:sz w:val="28"/>
                <w:szCs w:val="28"/>
              </w:rPr>
              <w:t>候选个人合作关系说明</w:t>
            </w:r>
          </w:p>
          <w:p w14:paraId="538382D9">
            <w:pPr>
              <w:ind w:firstLine="480"/>
              <w:rPr>
                <w:color w:val="auto"/>
              </w:rPr>
            </w:pPr>
            <w:r>
              <w:rPr>
                <w:color w:val="auto"/>
              </w:rPr>
              <w:t>本项目候选个人来自广西大学、华中科技大学、桂林电子科技大学、中国移动通信集团广西有限公司、烽火通信科技股份有限公司、武汉城市职业学院、湖北华中电力科技开发有限责任公司、润建股份有限公司等多家单位，自2018年起围绕低碳绿色通信网络关键技术与智能应用开展深度产学研用合作，形成了优势互补、分工明确的协同创新团队。</w:t>
            </w:r>
          </w:p>
          <w:p w14:paraId="5372B894">
            <w:pPr>
              <w:ind w:firstLine="480"/>
              <w:rPr>
                <w:color w:val="auto"/>
              </w:rPr>
            </w:pPr>
            <w:r>
              <w:rPr>
                <w:color w:val="auto"/>
              </w:rPr>
              <w:t>一、合作背景与历程</w:t>
            </w:r>
          </w:p>
          <w:p w14:paraId="50B34870">
            <w:pPr>
              <w:ind w:firstLine="480"/>
              <w:rPr>
                <w:color w:val="auto"/>
              </w:rPr>
            </w:pPr>
            <w:r>
              <w:rPr>
                <w:color w:val="auto"/>
              </w:rPr>
              <w:t>自2018年起，华中科技大学葛晓虎教授团队与广西大学、桂林电子科技大学、中国移动通信集团广西有限公司、烽火通信科技股份有限公司等单位建立长期合作关系，围绕智能无线网络能效优化、通信网络拓扑优化、室内定位技术、数据安全与人工智能等方向开展联合攻关。合作团队先后承担国家重点研发计划、国家自然科学基金重大项目、广西科技重大专项等多项国家级和省部级科研项目，共同研发了一批具有自主知识产权的核心技术，并在广西地区实现成果转化与产业化应用。</w:t>
            </w:r>
          </w:p>
          <w:p w14:paraId="73AC5A13">
            <w:pPr>
              <w:ind w:firstLine="480"/>
              <w:rPr>
                <w:color w:val="auto"/>
              </w:rPr>
            </w:pPr>
            <w:r>
              <w:rPr>
                <w:color w:val="auto"/>
              </w:rPr>
              <w:t>二、合作分工与人员组成</w:t>
            </w:r>
          </w:p>
          <w:p w14:paraId="2C8C583D">
            <w:pPr>
              <w:ind w:firstLine="480"/>
              <w:rPr>
                <w:color w:val="auto"/>
              </w:rPr>
            </w:pPr>
            <w:r>
              <w:rPr>
                <w:color w:val="auto"/>
              </w:rPr>
              <w:t>1. 华中科技大学葛晓虎教授团队作为技术总体单位，负责核心算法理论研究与关键技术攻关，团队成员包括葛晓虎、白琳等，主要负责无线网络能效优化算法、毫米波通信预编码技术、绿色网络碳效率优化等核心技术的研发。</w:t>
            </w:r>
          </w:p>
          <w:p w14:paraId="5D7BDB79">
            <w:pPr>
              <w:ind w:firstLine="480"/>
              <w:rPr>
                <w:color w:val="auto"/>
              </w:rPr>
            </w:pPr>
            <w:r>
              <w:rPr>
                <w:color w:val="auto"/>
              </w:rPr>
              <w:t>2. 广西大学团队负责通信网络系统集成与人工智能应用研究，联合张振荣教授团队开展预训练大模型训练与应用规范、职业院校人工智能数据处理安全规范等团体标准的制定工作。</w:t>
            </w:r>
          </w:p>
          <w:p w14:paraId="0C4439C0">
            <w:pPr>
              <w:ind w:firstLine="480"/>
              <w:rPr>
                <w:color w:val="auto"/>
              </w:rPr>
            </w:pPr>
            <w:r>
              <w:rPr>
                <w:color w:val="auto"/>
              </w:rPr>
              <w:t>3. 桂林电子科技大学团队负责室内定位技术与Wi-Fi数据优化技术研究，包括可见光定位、无线指纹数据库优化等方向，李晓记教授、罗丽燕副教授为核心骨干。</w:t>
            </w:r>
          </w:p>
          <w:p w14:paraId="06D58B5E">
            <w:pPr>
              <w:ind w:firstLine="480"/>
              <w:rPr>
                <w:color w:val="auto"/>
              </w:rPr>
            </w:pPr>
            <w:r>
              <w:rPr>
                <w:color w:val="auto"/>
              </w:rPr>
              <w:t>4. 中国移动通信集团广西有限公司负责应用场景验证与示范应用，将研发成果应用于广西移动现网环境，开展小区休眠控制、数据库安全态势感知等技术的试点验证与规模部署，钟磊、林亮等为核心技术骨干。</w:t>
            </w:r>
          </w:p>
          <w:p w14:paraId="353669A7">
            <w:pPr>
              <w:ind w:firstLine="480"/>
              <w:rPr>
                <w:color w:val="auto"/>
              </w:rPr>
            </w:pPr>
            <w:r>
              <w:rPr>
                <w:color w:val="auto"/>
              </w:rPr>
              <w:t>5. 烽火通信科技股份有限公司负责网络设备研发与国际专利布局，联合李澍等工程师开展网络拓扑优化、多层最短路径查找等技术的工程化实现与国际专利申请。</w:t>
            </w:r>
          </w:p>
          <w:p w14:paraId="33389FFA">
            <w:pPr>
              <w:ind w:firstLine="480"/>
              <w:rPr>
                <w:color w:val="auto"/>
              </w:rPr>
            </w:pPr>
            <w:r>
              <w:rPr>
                <w:color w:val="auto"/>
              </w:rPr>
              <w:t>6. 武汉城市职业学院、湖北华中电力科技开发有限责任公司、润建股份有限公司等单位负责技术应用验证与产业化推广。</w:t>
            </w:r>
          </w:p>
          <w:p w14:paraId="6A60FCFD">
            <w:pPr>
              <w:ind w:firstLine="480"/>
              <w:rPr>
                <w:color w:val="auto"/>
              </w:rPr>
            </w:pPr>
            <w:r>
              <w:rPr>
                <w:color w:val="auto"/>
              </w:rPr>
              <w:t>三、合作成果与知识产权</w:t>
            </w:r>
          </w:p>
          <w:p w14:paraId="4BF86FBF">
            <w:pPr>
              <w:ind w:firstLine="480"/>
              <w:rPr>
                <w:color w:val="auto"/>
              </w:rPr>
            </w:pPr>
            <w:r>
              <w:rPr>
                <w:color w:val="auto"/>
              </w:rPr>
              <w:t>通过多年合作，团队共同取得了一系列重要成果：获授权中国发明专利多项，包括“哑资源管理系统自动测试方法”、“一种毫米波MIMO-OFDM通信系统的混合预编码能效优化方法”、“一种基于平均场博弈的移动通信基站能效优化方法”等；获授权马来西亚国际发明专利1项；牵头制定广西电子学会团体标准2项。相关成果在国内现网大规模应用，并在一带一路国家实现产品和技术成套出口。</w:t>
            </w:r>
          </w:p>
          <w:p w14:paraId="779377F1">
            <w:pPr>
              <w:rPr>
                <w:color w:val="auto"/>
              </w:rPr>
            </w:pPr>
          </w:p>
          <w:p w14:paraId="00742CDD">
            <w:pPr>
              <w:ind w:firstLine="480"/>
              <w:rPr>
                <w:color w:val="auto"/>
              </w:rPr>
            </w:pPr>
            <w:r>
              <w:rPr>
                <w:color w:val="auto"/>
              </w:rPr>
              <w:t>四、合作机制与保障</w:t>
            </w:r>
          </w:p>
          <w:p w14:paraId="4ED318B5">
            <w:pPr>
              <w:ind w:firstLine="480"/>
              <w:rPr>
                <w:color w:val="auto"/>
              </w:rPr>
            </w:pPr>
            <w:r>
              <w:rPr>
                <w:color w:val="auto"/>
              </w:rPr>
              <w:t>各候选个人之间建立了稳定的产学研合作机制，通过定期技术交流、联合项目攻关、人才联合培养、研究生联合指导等方式持续深化合作。华中科技大学提供理论与算法支撑，广西本地高校提供技术应用与人才支撑，中国移动广西公司提供应用场景与产业验证，烽火通信提供设备研发与国际布局，形成了“基础研究—技术研发—成果转化—规模应用”的完整创新链条。</w:t>
            </w:r>
          </w:p>
          <w:p w14:paraId="22D2B54F">
            <w:pPr>
              <w:rPr>
                <w:color w:val="auto"/>
              </w:rPr>
            </w:pPr>
          </w:p>
          <w:p w14:paraId="727B495A">
            <w:pPr>
              <w:rPr>
                <w:color w:val="auto"/>
              </w:rPr>
            </w:pPr>
            <w:r>
              <w:rPr>
                <w:color w:val="auto"/>
              </w:rPr>
              <w:t>以上合作关系情况详见附表。</w:t>
            </w:r>
          </w:p>
        </w:tc>
      </w:tr>
    </w:tbl>
    <w:p w14:paraId="798F0721">
      <w:pPr>
        <w:adjustRightInd w:val="0"/>
        <w:snapToGrid w:val="0"/>
        <w:spacing w:line="406" w:lineRule="exact"/>
        <w:jc w:val="center"/>
        <w:rPr>
          <w:rFonts w:hint="eastAsia" w:ascii="黑体" w:hAnsi="黑体" w:eastAsia="黑体"/>
          <w:snapToGrid w:val="0"/>
          <w:color w:val="auto"/>
          <w:sz w:val="28"/>
          <w:szCs w:val="28"/>
        </w:rPr>
      </w:pPr>
    </w:p>
    <w:p w14:paraId="7F117F6F">
      <w:pPr>
        <w:adjustRightInd w:val="0"/>
        <w:snapToGrid w:val="0"/>
        <w:spacing w:line="406" w:lineRule="exact"/>
        <w:jc w:val="center"/>
        <w:rPr>
          <w:rFonts w:hint="eastAsia" w:ascii="仿宋" w:hAnsi="仿宋" w:eastAsia="仿宋"/>
          <w:b/>
          <w:snapToGrid w:val="0"/>
          <w:color w:val="auto"/>
          <w:szCs w:val="32"/>
        </w:rPr>
      </w:pPr>
      <w:r>
        <w:rPr>
          <w:rFonts w:hint="eastAsia" w:ascii="仿宋" w:hAnsi="仿宋" w:eastAsia="仿宋"/>
          <w:b/>
          <w:snapToGrid w:val="0"/>
          <w:color w:val="auto"/>
          <w:szCs w:val="32"/>
        </w:rPr>
        <w:t>附表：候选个人合作情况汇总表</w:t>
      </w:r>
    </w:p>
    <w:tbl>
      <w:tblPr>
        <w:tblStyle w:val="7"/>
        <w:tblW w:w="1349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63"/>
        <w:gridCol w:w="1701"/>
        <w:gridCol w:w="2268"/>
        <w:gridCol w:w="1275"/>
        <w:gridCol w:w="5387"/>
        <w:gridCol w:w="1134"/>
        <w:gridCol w:w="970"/>
      </w:tblGrid>
      <w:tr w14:paraId="0C4907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jc w:val="center"/>
        </w:trPr>
        <w:tc>
          <w:tcPr>
            <w:tcW w:w="763" w:type="dxa"/>
            <w:tcBorders>
              <w:top w:val="single" w:color="000000" w:sz="4" w:space="0"/>
              <w:left w:val="single" w:color="000000" w:sz="4" w:space="0"/>
              <w:bottom w:val="single" w:color="000000" w:sz="4" w:space="0"/>
              <w:right w:val="single" w:color="000000" w:sz="4" w:space="0"/>
            </w:tcBorders>
            <w:vAlign w:val="center"/>
          </w:tcPr>
          <w:p w14:paraId="5D52CEAB">
            <w:pPr>
              <w:widowControl w:val="0"/>
              <w:adjustRightInd w:val="0"/>
              <w:snapToGrid w:val="0"/>
              <w:spacing w:line="320" w:lineRule="exact"/>
              <w:jc w:val="center"/>
              <w:outlineLvl w:val="1"/>
              <w:rPr>
                <w:rFonts w:eastAsia="方正黑体_GBK"/>
                <w:b/>
                <w:snapToGrid w:val="0"/>
                <w:color w:val="auto"/>
                <w:sz w:val="18"/>
                <w:szCs w:val="18"/>
              </w:rPr>
            </w:pPr>
            <w:r>
              <w:rPr>
                <w:rFonts w:eastAsia="方正黑体_GBK"/>
                <w:b/>
                <w:snapToGrid w:val="0"/>
                <w:color w:val="auto"/>
                <w:sz w:val="18"/>
                <w:szCs w:val="18"/>
              </w:rPr>
              <w:t>序号</w:t>
            </w:r>
          </w:p>
        </w:tc>
        <w:tc>
          <w:tcPr>
            <w:tcW w:w="1701" w:type="dxa"/>
            <w:tcBorders>
              <w:top w:val="single" w:color="000000" w:sz="4" w:space="0"/>
              <w:left w:val="nil"/>
              <w:bottom w:val="single" w:color="000000" w:sz="4" w:space="0"/>
              <w:right w:val="single" w:color="000000" w:sz="4" w:space="0"/>
            </w:tcBorders>
            <w:vAlign w:val="center"/>
          </w:tcPr>
          <w:p w14:paraId="4CCF4E03">
            <w:pPr>
              <w:widowControl w:val="0"/>
              <w:adjustRightInd w:val="0"/>
              <w:snapToGrid w:val="0"/>
              <w:spacing w:line="320" w:lineRule="exact"/>
              <w:jc w:val="center"/>
              <w:outlineLvl w:val="1"/>
              <w:rPr>
                <w:rFonts w:eastAsia="方正黑体_GBK"/>
                <w:b/>
                <w:snapToGrid w:val="0"/>
                <w:color w:val="auto"/>
                <w:sz w:val="18"/>
                <w:szCs w:val="18"/>
              </w:rPr>
            </w:pPr>
            <w:r>
              <w:rPr>
                <w:rFonts w:eastAsia="方正黑体_GBK"/>
                <w:b/>
                <w:snapToGrid w:val="0"/>
                <w:color w:val="auto"/>
                <w:sz w:val="18"/>
                <w:szCs w:val="18"/>
              </w:rPr>
              <w:t>合作方式</w:t>
            </w:r>
          </w:p>
        </w:tc>
        <w:tc>
          <w:tcPr>
            <w:tcW w:w="2268" w:type="dxa"/>
            <w:tcBorders>
              <w:top w:val="single" w:color="000000" w:sz="4" w:space="0"/>
              <w:left w:val="nil"/>
              <w:bottom w:val="single" w:color="000000" w:sz="4" w:space="0"/>
              <w:right w:val="single" w:color="000000" w:sz="4" w:space="0"/>
            </w:tcBorders>
            <w:vAlign w:val="center"/>
          </w:tcPr>
          <w:p w14:paraId="47F0A567">
            <w:pPr>
              <w:widowControl w:val="0"/>
              <w:adjustRightInd w:val="0"/>
              <w:snapToGrid w:val="0"/>
              <w:spacing w:line="320" w:lineRule="exact"/>
              <w:jc w:val="center"/>
              <w:outlineLvl w:val="1"/>
              <w:rPr>
                <w:rFonts w:eastAsia="方正黑体_GBK"/>
                <w:b/>
                <w:snapToGrid w:val="0"/>
                <w:color w:val="auto"/>
                <w:sz w:val="18"/>
                <w:szCs w:val="18"/>
              </w:rPr>
            </w:pPr>
            <w:r>
              <w:rPr>
                <w:rFonts w:eastAsia="方正黑体_GBK"/>
                <w:b/>
                <w:snapToGrid w:val="0"/>
                <w:color w:val="auto"/>
                <w:sz w:val="18"/>
                <w:szCs w:val="18"/>
              </w:rPr>
              <w:t>合作者</w:t>
            </w:r>
          </w:p>
        </w:tc>
        <w:tc>
          <w:tcPr>
            <w:tcW w:w="1275" w:type="dxa"/>
            <w:tcBorders>
              <w:top w:val="single" w:color="000000" w:sz="4" w:space="0"/>
              <w:left w:val="nil"/>
              <w:bottom w:val="single" w:color="000000" w:sz="4" w:space="0"/>
              <w:right w:val="single" w:color="000000" w:sz="4" w:space="0"/>
            </w:tcBorders>
            <w:vAlign w:val="center"/>
          </w:tcPr>
          <w:p w14:paraId="760631DD">
            <w:pPr>
              <w:widowControl w:val="0"/>
              <w:adjustRightInd w:val="0"/>
              <w:snapToGrid w:val="0"/>
              <w:spacing w:line="320" w:lineRule="exact"/>
              <w:jc w:val="center"/>
              <w:outlineLvl w:val="1"/>
              <w:rPr>
                <w:rFonts w:eastAsia="方正黑体_GBK"/>
                <w:b/>
                <w:snapToGrid w:val="0"/>
                <w:color w:val="auto"/>
                <w:sz w:val="18"/>
                <w:szCs w:val="18"/>
              </w:rPr>
            </w:pPr>
            <w:r>
              <w:rPr>
                <w:rFonts w:eastAsia="方正黑体_GBK"/>
                <w:b/>
                <w:snapToGrid w:val="0"/>
                <w:color w:val="auto"/>
                <w:sz w:val="18"/>
                <w:szCs w:val="18"/>
              </w:rPr>
              <w:t>合作时间</w:t>
            </w:r>
          </w:p>
        </w:tc>
        <w:tc>
          <w:tcPr>
            <w:tcW w:w="5387" w:type="dxa"/>
            <w:tcBorders>
              <w:top w:val="single" w:color="000000" w:sz="4" w:space="0"/>
              <w:left w:val="nil"/>
              <w:bottom w:val="single" w:color="000000" w:sz="4" w:space="0"/>
              <w:right w:val="single" w:color="000000" w:sz="4" w:space="0"/>
            </w:tcBorders>
            <w:vAlign w:val="center"/>
          </w:tcPr>
          <w:p w14:paraId="66B3D622">
            <w:pPr>
              <w:widowControl w:val="0"/>
              <w:adjustRightInd w:val="0"/>
              <w:snapToGrid w:val="0"/>
              <w:spacing w:line="320" w:lineRule="exact"/>
              <w:jc w:val="center"/>
              <w:outlineLvl w:val="1"/>
              <w:rPr>
                <w:rFonts w:eastAsia="方正黑体_GBK"/>
                <w:b/>
                <w:snapToGrid w:val="0"/>
                <w:color w:val="auto"/>
                <w:sz w:val="18"/>
                <w:szCs w:val="18"/>
              </w:rPr>
            </w:pPr>
            <w:r>
              <w:rPr>
                <w:rFonts w:eastAsia="方正黑体_GBK"/>
                <w:b/>
                <w:snapToGrid w:val="0"/>
                <w:color w:val="auto"/>
                <w:sz w:val="18"/>
                <w:szCs w:val="18"/>
              </w:rPr>
              <w:t>合作成果</w:t>
            </w:r>
          </w:p>
        </w:tc>
        <w:tc>
          <w:tcPr>
            <w:tcW w:w="1134" w:type="dxa"/>
            <w:tcBorders>
              <w:top w:val="single" w:color="000000" w:sz="4" w:space="0"/>
              <w:left w:val="nil"/>
              <w:bottom w:val="single" w:color="000000" w:sz="4" w:space="0"/>
              <w:right w:val="single" w:color="000000" w:sz="4" w:space="0"/>
            </w:tcBorders>
            <w:vAlign w:val="center"/>
          </w:tcPr>
          <w:p w14:paraId="1C2AB118">
            <w:pPr>
              <w:widowControl w:val="0"/>
              <w:adjustRightInd w:val="0"/>
              <w:snapToGrid w:val="0"/>
              <w:spacing w:line="320" w:lineRule="exact"/>
              <w:jc w:val="center"/>
              <w:outlineLvl w:val="1"/>
              <w:rPr>
                <w:rFonts w:eastAsia="方正黑体_GBK"/>
                <w:b/>
                <w:snapToGrid w:val="0"/>
                <w:color w:val="auto"/>
                <w:sz w:val="18"/>
                <w:szCs w:val="18"/>
              </w:rPr>
            </w:pPr>
            <w:r>
              <w:rPr>
                <w:rFonts w:eastAsia="方正黑体_GBK"/>
                <w:b/>
                <w:snapToGrid w:val="0"/>
                <w:color w:val="auto"/>
                <w:sz w:val="18"/>
                <w:szCs w:val="18"/>
              </w:rPr>
              <w:t>附件编号</w:t>
            </w:r>
          </w:p>
        </w:tc>
        <w:tc>
          <w:tcPr>
            <w:tcW w:w="970" w:type="dxa"/>
            <w:tcBorders>
              <w:top w:val="single" w:color="000000" w:sz="4" w:space="0"/>
              <w:left w:val="nil"/>
              <w:bottom w:val="single" w:color="000000" w:sz="4" w:space="0"/>
              <w:right w:val="single" w:color="000000" w:sz="4" w:space="0"/>
            </w:tcBorders>
            <w:vAlign w:val="center"/>
          </w:tcPr>
          <w:p w14:paraId="2CD897EC">
            <w:pPr>
              <w:widowControl w:val="0"/>
              <w:adjustRightInd w:val="0"/>
              <w:snapToGrid w:val="0"/>
              <w:spacing w:line="320" w:lineRule="exact"/>
              <w:jc w:val="center"/>
              <w:outlineLvl w:val="1"/>
              <w:rPr>
                <w:rFonts w:eastAsia="方正黑体_GBK"/>
                <w:b/>
                <w:snapToGrid w:val="0"/>
                <w:color w:val="auto"/>
                <w:sz w:val="18"/>
                <w:szCs w:val="18"/>
              </w:rPr>
            </w:pPr>
            <w:r>
              <w:rPr>
                <w:rFonts w:eastAsia="方正黑体_GBK"/>
                <w:b/>
                <w:snapToGrid w:val="0"/>
                <w:color w:val="auto"/>
                <w:sz w:val="18"/>
                <w:szCs w:val="18"/>
              </w:rPr>
              <w:t>备注</w:t>
            </w:r>
          </w:p>
        </w:tc>
      </w:tr>
      <w:tr w14:paraId="69E43E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jc w:val="center"/>
        </w:trPr>
        <w:tc>
          <w:tcPr>
            <w:tcW w:w="763" w:type="dxa"/>
            <w:tcBorders>
              <w:top w:val="single" w:color="000000" w:sz="4" w:space="0"/>
              <w:left w:val="single" w:color="000000" w:sz="4" w:space="0"/>
              <w:bottom w:val="single" w:color="000000" w:sz="4" w:space="0"/>
              <w:right w:val="single" w:color="000000" w:sz="4" w:space="0"/>
            </w:tcBorders>
            <w:vAlign w:val="center"/>
          </w:tcPr>
          <w:p w14:paraId="689FB6FD">
            <w:pPr>
              <w:keepNext w:val="0"/>
              <w:keepLines w:val="0"/>
              <w:pageBreakBefore w:val="0"/>
              <w:widowControl/>
              <w:kinsoku/>
              <w:wordWrap/>
              <w:overflowPunct/>
              <w:topLinePunct w:val="0"/>
              <w:autoSpaceDE/>
              <w:autoSpaceDN/>
              <w:bidi w:val="0"/>
              <w:adjustRightInd/>
              <w:snapToGrid/>
              <w:ind w:firstLine="0"/>
              <w:textAlignment w:val="auto"/>
              <w:rPr>
                <w:color w:val="auto"/>
              </w:rPr>
            </w:pPr>
            <w:r>
              <w:rPr>
                <w:color w:val="auto"/>
              </w:rPr>
              <w:t>1</w:t>
            </w:r>
          </w:p>
        </w:tc>
        <w:tc>
          <w:tcPr>
            <w:tcW w:w="1701" w:type="dxa"/>
            <w:tcBorders>
              <w:top w:val="single" w:color="000000" w:sz="4" w:space="0"/>
              <w:left w:val="nil"/>
              <w:bottom w:val="single" w:color="000000" w:sz="4" w:space="0"/>
              <w:right w:val="single" w:color="000000" w:sz="4" w:space="0"/>
            </w:tcBorders>
            <w:vAlign w:val="center"/>
          </w:tcPr>
          <w:p w14:paraId="523BF621">
            <w:pPr>
              <w:keepNext w:val="0"/>
              <w:keepLines w:val="0"/>
              <w:pageBreakBefore w:val="0"/>
              <w:widowControl/>
              <w:kinsoku/>
              <w:wordWrap/>
              <w:overflowPunct/>
              <w:topLinePunct w:val="0"/>
              <w:autoSpaceDE/>
              <w:autoSpaceDN/>
              <w:bidi w:val="0"/>
              <w:adjustRightInd/>
              <w:snapToGrid/>
              <w:ind w:firstLine="0"/>
              <w:textAlignment w:val="auto"/>
              <w:rPr>
                <w:color w:val="auto"/>
              </w:rPr>
            </w:pPr>
            <w:r>
              <w:rPr>
                <w:color w:val="auto"/>
              </w:rPr>
              <w:t>产学研合作</w:t>
            </w:r>
            <w:r>
              <w:rPr>
                <w:color w:val="auto"/>
              </w:rPr>
              <w:br w:type="textWrapping"/>
            </w:r>
            <w:r>
              <w:rPr>
                <w:color w:val="auto"/>
              </w:rPr>
              <w:t>联合技术攻关</w:t>
            </w:r>
          </w:p>
        </w:tc>
        <w:tc>
          <w:tcPr>
            <w:tcW w:w="2268" w:type="dxa"/>
            <w:tcBorders>
              <w:top w:val="single" w:color="000000" w:sz="4" w:space="0"/>
              <w:left w:val="nil"/>
              <w:bottom w:val="single" w:color="000000" w:sz="4" w:space="0"/>
              <w:right w:val="single" w:color="000000" w:sz="4" w:space="0"/>
            </w:tcBorders>
            <w:vAlign w:val="center"/>
          </w:tcPr>
          <w:p w14:paraId="615E313E">
            <w:pPr>
              <w:keepNext w:val="0"/>
              <w:keepLines w:val="0"/>
              <w:pageBreakBefore w:val="0"/>
              <w:widowControl/>
              <w:kinsoku/>
              <w:wordWrap/>
              <w:overflowPunct/>
              <w:topLinePunct w:val="0"/>
              <w:autoSpaceDE/>
              <w:autoSpaceDN/>
              <w:bidi w:val="0"/>
              <w:adjustRightInd/>
              <w:snapToGrid/>
              <w:ind w:firstLine="0"/>
              <w:textAlignment w:val="auto"/>
              <w:rPr>
                <w:color w:val="auto"/>
              </w:rPr>
            </w:pPr>
            <w:r>
              <w:rPr>
                <w:color w:val="auto"/>
              </w:rPr>
              <w:t>葛晓虎（华中科技大学）</w:t>
            </w:r>
            <w:r>
              <w:rPr>
                <w:color w:val="auto"/>
              </w:rPr>
              <w:br w:type="textWrapping"/>
            </w:r>
            <w:r>
              <w:rPr>
                <w:color w:val="auto"/>
              </w:rPr>
              <w:t>白琳（广西大学）</w:t>
            </w:r>
          </w:p>
        </w:tc>
        <w:tc>
          <w:tcPr>
            <w:tcW w:w="1275" w:type="dxa"/>
            <w:tcBorders>
              <w:top w:val="single" w:color="000000" w:sz="4" w:space="0"/>
              <w:left w:val="nil"/>
              <w:bottom w:val="single" w:color="000000" w:sz="4" w:space="0"/>
              <w:right w:val="single" w:color="000000" w:sz="4" w:space="0"/>
            </w:tcBorders>
            <w:vAlign w:val="center"/>
          </w:tcPr>
          <w:p w14:paraId="75940EE2">
            <w:pPr>
              <w:keepNext w:val="0"/>
              <w:keepLines w:val="0"/>
              <w:pageBreakBefore w:val="0"/>
              <w:widowControl/>
              <w:kinsoku/>
              <w:wordWrap/>
              <w:overflowPunct/>
              <w:topLinePunct w:val="0"/>
              <w:autoSpaceDE/>
              <w:autoSpaceDN/>
              <w:bidi w:val="0"/>
              <w:adjustRightInd/>
              <w:snapToGrid/>
              <w:ind w:firstLine="0"/>
              <w:textAlignment w:val="auto"/>
              <w:rPr>
                <w:color w:val="auto"/>
              </w:rPr>
            </w:pPr>
            <w:r>
              <w:rPr>
                <w:color w:val="auto"/>
              </w:rPr>
              <w:t>2018年至今</w:t>
            </w:r>
          </w:p>
        </w:tc>
        <w:tc>
          <w:tcPr>
            <w:tcW w:w="5387" w:type="dxa"/>
            <w:tcBorders>
              <w:top w:val="single" w:color="000000" w:sz="4" w:space="0"/>
              <w:left w:val="nil"/>
              <w:bottom w:val="single" w:color="000000" w:sz="4" w:space="0"/>
              <w:right w:val="single" w:color="000000" w:sz="4" w:space="0"/>
            </w:tcBorders>
            <w:vAlign w:val="center"/>
          </w:tcPr>
          <w:p w14:paraId="4C0BDB81">
            <w:pPr>
              <w:keepNext w:val="0"/>
              <w:keepLines w:val="0"/>
              <w:pageBreakBefore w:val="0"/>
              <w:widowControl/>
              <w:kinsoku/>
              <w:wordWrap/>
              <w:overflowPunct/>
              <w:topLinePunct w:val="0"/>
              <w:autoSpaceDE/>
              <w:autoSpaceDN/>
              <w:bidi w:val="0"/>
              <w:adjustRightInd/>
              <w:snapToGrid/>
              <w:ind w:firstLine="0"/>
              <w:textAlignment w:val="auto"/>
              <w:rPr>
                <w:color w:val="auto"/>
              </w:rPr>
            </w:pPr>
            <w:r>
              <w:rPr>
                <w:color w:val="auto"/>
              </w:rPr>
              <w:t>低碳绿色通信网络能效优化关键技术研究，包括毫米波MIMO预编码、基站能效优化、碳效率优化等</w:t>
            </w:r>
          </w:p>
        </w:tc>
        <w:tc>
          <w:tcPr>
            <w:tcW w:w="1134" w:type="dxa"/>
            <w:tcBorders>
              <w:top w:val="single" w:color="000000" w:sz="4" w:space="0"/>
              <w:left w:val="nil"/>
              <w:bottom w:val="single" w:color="000000" w:sz="4" w:space="0"/>
              <w:right w:val="single" w:color="000000" w:sz="4" w:space="0"/>
            </w:tcBorders>
            <w:vAlign w:val="center"/>
          </w:tcPr>
          <w:p w14:paraId="7DF0B0D0">
            <w:pPr>
              <w:keepNext w:val="0"/>
              <w:keepLines w:val="0"/>
              <w:pageBreakBefore w:val="0"/>
              <w:widowControl/>
              <w:kinsoku/>
              <w:wordWrap/>
              <w:overflowPunct/>
              <w:topLinePunct w:val="0"/>
              <w:autoSpaceDE/>
              <w:autoSpaceDN/>
              <w:bidi w:val="0"/>
              <w:adjustRightInd/>
              <w:snapToGrid/>
              <w:ind w:firstLine="0"/>
              <w:textAlignment w:val="auto"/>
              <w:rPr>
                <w:color w:val="auto"/>
              </w:rPr>
            </w:pPr>
            <w:r>
              <w:rPr>
                <w:color w:val="auto"/>
              </w:rPr>
              <w:t>1-2, 1-3, 1-10</w:t>
            </w:r>
          </w:p>
        </w:tc>
        <w:tc>
          <w:tcPr>
            <w:tcW w:w="970" w:type="dxa"/>
            <w:tcBorders>
              <w:top w:val="single" w:color="000000" w:sz="4" w:space="0"/>
              <w:left w:val="nil"/>
              <w:bottom w:val="single" w:color="000000" w:sz="4" w:space="0"/>
              <w:right w:val="single" w:color="000000" w:sz="4" w:space="0"/>
            </w:tcBorders>
            <w:vAlign w:val="center"/>
          </w:tcPr>
          <w:p w14:paraId="15BC0A4F">
            <w:pPr>
              <w:keepNext w:val="0"/>
              <w:keepLines w:val="0"/>
              <w:pageBreakBefore w:val="0"/>
              <w:widowControl/>
              <w:kinsoku/>
              <w:wordWrap/>
              <w:overflowPunct/>
              <w:topLinePunct w:val="0"/>
              <w:autoSpaceDE/>
              <w:autoSpaceDN/>
              <w:bidi w:val="0"/>
              <w:adjustRightInd/>
              <w:snapToGrid/>
              <w:ind w:firstLine="0"/>
              <w:textAlignment w:val="auto"/>
              <w:rPr>
                <w:color w:val="auto"/>
              </w:rPr>
            </w:pPr>
            <w:r>
              <w:rPr>
                <w:color w:val="auto"/>
              </w:rPr>
              <w:t>核心技术联合研发</w:t>
            </w:r>
          </w:p>
        </w:tc>
      </w:tr>
      <w:tr w14:paraId="6839A1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jc w:val="center"/>
        </w:trPr>
        <w:tc>
          <w:tcPr>
            <w:tcW w:w="763" w:type="dxa"/>
            <w:tcBorders>
              <w:top w:val="single" w:color="000000" w:sz="4" w:space="0"/>
              <w:left w:val="single" w:color="000000" w:sz="4" w:space="0"/>
              <w:bottom w:val="single" w:color="000000" w:sz="4" w:space="0"/>
              <w:right w:val="single" w:color="000000" w:sz="4" w:space="0"/>
            </w:tcBorders>
            <w:vAlign w:val="center"/>
          </w:tcPr>
          <w:p w14:paraId="74316CFA">
            <w:pPr>
              <w:keepNext w:val="0"/>
              <w:keepLines w:val="0"/>
              <w:pageBreakBefore w:val="0"/>
              <w:widowControl/>
              <w:kinsoku/>
              <w:wordWrap/>
              <w:overflowPunct/>
              <w:topLinePunct w:val="0"/>
              <w:autoSpaceDE/>
              <w:autoSpaceDN/>
              <w:bidi w:val="0"/>
              <w:adjustRightInd/>
              <w:snapToGrid/>
              <w:ind w:firstLine="0"/>
              <w:textAlignment w:val="auto"/>
              <w:rPr>
                <w:color w:val="auto"/>
              </w:rPr>
            </w:pPr>
            <w:r>
              <w:rPr>
                <w:color w:val="auto"/>
              </w:rPr>
              <w:t>2</w:t>
            </w:r>
          </w:p>
        </w:tc>
        <w:tc>
          <w:tcPr>
            <w:tcW w:w="1701" w:type="dxa"/>
            <w:tcBorders>
              <w:top w:val="single" w:color="000000" w:sz="4" w:space="0"/>
              <w:left w:val="nil"/>
              <w:bottom w:val="single" w:color="000000" w:sz="4" w:space="0"/>
              <w:right w:val="single" w:color="000000" w:sz="4" w:space="0"/>
            </w:tcBorders>
            <w:vAlign w:val="center"/>
          </w:tcPr>
          <w:p w14:paraId="272EBAF8">
            <w:pPr>
              <w:keepNext w:val="0"/>
              <w:keepLines w:val="0"/>
              <w:pageBreakBefore w:val="0"/>
              <w:widowControl/>
              <w:kinsoku/>
              <w:wordWrap/>
              <w:overflowPunct/>
              <w:topLinePunct w:val="0"/>
              <w:autoSpaceDE/>
              <w:autoSpaceDN/>
              <w:bidi w:val="0"/>
              <w:adjustRightInd/>
              <w:snapToGrid/>
              <w:ind w:firstLine="0"/>
              <w:textAlignment w:val="auto"/>
              <w:rPr>
                <w:color w:val="auto"/>
              </w:rPr>
            </w:pPr>
            <w:r>
              <w:rPr>
                <w:color w:val="auto"/>
              </w:rPr>
              <w:t>产学研合作</w:t>
            </w:r>
            <w:r>
              <w:rPr>
                <w:color w:val="auto"/>
              </w:rPr>
              <w:br w:type="textWrapping"/>
            </w:r>
            <w:r>
              <w:rPr>
                <w:color w:val="auto"/>
              </w:rPr>
              <w:t>标准制定</w:t>
            </w:r>
          </w:p>
        </w:tc>
        <w:tc>
          <w:tcPr>
            <w:tcW w:w="2268" w:type="dxa"/>
            <w:tcBorders>
              <w:top w:val="single" w:color="000000" w:sz="4" w:space="0"/>
              <w:left w:val="nil"/>
              <w:bottom w:val="single" w:color="000000" w:sz="4" w:space="0"/>
              <w:right w:val="single" w:color="000000" w:sz="4" w:space="0"/>
            </w:tcBorders>
            <w:vAlign w:val="center"/>
          </w:tcPr>
          <w:p w14:paraId="46C77138">
            <w:pPr>
              <w:keepNext w:val="0"/>
              <w:keepLines w:val="0"/>
              <w:pageBreakBefore w:val="0"/>
              <w:widowControl/>
              <w:kinsoku/>
              <w:wordWrap/>
              <w:overflowPunct/>
              <w:topLinePunct w:val="0"/>
              <w:autoSpaceDE/>
              <w:autoSpaceDN/>
              <w:bidi w:val="0"/>
              <w:adjustRightInd/>
              <w:snapToGrid/>
              <w:ind w:firstLine="0"/>
              <w:textAlignment w:val="auto"/>
              <w:rPr>
                <w:color w:val="auto"/>
              </w:rPr>
            </w:pPr>
            <w:r>
              <w:rPr>
                <w:color w:val="auto"/>
              </w:rPr>
              <w:t>白琳（广西大学）</w:t>
            </w:r>
            <w:r>
              <w:rPr>
                <w:color w:val="auto"/>
              </w:rPr>
              <w:br w:type="textWrapping"/>
            </w:r>
            <w:r>
              <w:rPr>
                <w:color w:val="auto"/>
              </w:rPr>
              <w:t>张振荣（广西大学）</w:t>
            </w:r>
            <w:r>
              <w:rPr>
                <w:color w:val="auto"/>
              </w:rPr>
              <w:br w:type="textWrapping"/>
            </w:r>
            <w:r>
              <w:rPr>
                <w:color w:val="auto"/>
              </w:rPr>
              <w:t>钟磊（中国移动广西公司）</w:t>
            </w:r>
          </w:p>
        </w:tc>
        <w:tc>
          <w:tcPr>
            <w:tcW w:w="1275" w:type="dxa"/>
            <w:tcBorders>
              <w:top w:val="single" w:color="000000" w:sz="4" w:space="0"/>
              <w:left w:val="nil"/>
              <w:bottom w:val="single" w:color="000000" w:sz="4" w:space="0"/>
              <w:right w:val="single" w:color="000000" w:sz="4" w:space="0"/>
            </w:tcBorders>
            <w:vAlign w:val="center"/>
          </w:tcPr>
          <w:p w14:paraId="6C4F42DD">
            <w:pPr>
              <w:keepNext w:val="0"/>
              <w:keepLines w:val="0"/>
              <w:pageBreakBefore w:val="0"/>
              <w:widowControl/>
              <w:kinsoku/>
              <w:wordWrap/>
              <w:overflowPunct/>
              <w:topLinePunct w:val="0"/>
              <w:autoSpaceDE/>
              <w:autoSpaceDN/>
              <w:bidi w:val="0"/>
              <w:adjustRightInd/>
              <w:snapToGrid/>
              <w:ind w:firstLine="0"/>
              <w:textAlignment w:val="auto"/>
              <w:rPr>
                <w:color w:val="auto"/>
              </w:rPr>
            </w:pPr>
            <w:r>
              <w:rPr>
                <w:color w:val="auto"/>
              </w:rPr>
              <w:t>2018年至今</w:t>
            </w:r>
          </w:p>
        </w:tc>
        <w:tc>
          <w:tcPr>
            <w:tcW w:w="5387" w:type="dxa"/>
            <w:tcBorders>
              <w:top w:val="single" w:color="000000" w:sz="4" w:space="0"/>
              <w:left w:val="nil"/>
              <w:bottom w:val="single" w:color="000000" w:sz="4" w:space="0"/>
              <w:right w:val="single" w:color="000000" w:sz="4" w:space="0"/>
            </w:tcBorders>
            <w:vAlign w:val="center"/>
          </w:tcPr>
          <w:p w14:paraId="37C50A1A">
            <w:pPr>
              <w:keepNext w:val="0"/>
              <w:keepLines w:val="0"/>
              <w:pageBreakBefore w:val="0"/>
              <w:widowControl/>
              <w:kinsoku/>
              <w:wordWrap/>
              <w:overflowPunct/>
              <w:topLinePunct w:val="0"/>
              <w:autoSpaceDE/>
              <w:autoSpaceDN/>
              <w:bidi w:val="0"/>
              <w:adjustRightInd/>
              <w:snapToGrid/>
              <w:ind w:firstLine="0"/>
              <w:textAlignment w:val="auto"/>
              <w:rPr>
                <w:color w:val="auto"/>
              </w:rPr>
            </w:pPr>
            <w:r>
              <w:rPr>
                <w:color w:val="auto"/>
              </w:rPr>
              <w:t>牵头制定广西电子学会团体标准《人工智能 预训练大模型训练与应用规范》（T/GXIE 011-2025）、《职业院校人工智能数据处理安全规范》（T/GXIE 021-2025）</w:t>
            </w:r>
          </w:p>
        </w:tc>
        <w:tc>
          <w:tcPr>
            <w:tcW w:w="1134" w:type="dxa"/>
            <w:tcBorders>
              <w:top w:val="single" w:color="000000" w:sz="4" w:space="0"/>
              <w:left w:val="nil"/>
              <w:bottom w:val="single" w:color="000000" w:sz="4" w:space="0"/>
              <w:right w:val="single" w:color="000000" w:sz="4" w:space="0"/>
            </w:tcBorders>
            <w:vAlign w:val="center"/>
          </w:tcPr>
          <w:p w14:paraId="1D215DFD">
            <w:pPr>
              <w:keepNext w:val="0"/>
              <w:keepLines w:val="0"/>
              <w:pageBreakBefore w:val="0"/>
              <w:widowControl/>
              <w:kinsoku/>
              <w:wordWrap/>
              <w:overflowPunct/>
              <w:topLinePunct w:val="0"/>
              <w:autoSpaceDE/>
              <w:autoSpaceDN/>
              <w:bidi w:val="0"/>
              <w:adjustRightInd/>
              <w:snapToGrid/>
              <w:ind w:firstLine="0"/>
              <w:textAlignment w:val="auto"/>
              <w:rPr>
                <w:color w:val="auto"/>
              </w:rPr>
            </w:pPr>
            <w:r>
              <w:rPr>
                <w:color w:val="auto"/>
              </w:rPr>
              <w:t>1-8, 1-12</w:t>
            </w:r>
          </w:p>
        </w:tc>
        <w:tc>
          <w:tcPr>
            <w:tcW w:w="970" w:type="dxa"/>
            <w:tcBorders>
              <w:top w:val="single" w:color="000000" w:sz="4" w:space="0"/>
              <w:left w:val="nil"/>
              <w:bottom w:val="single" w:color="000000" w:sz="4" w:space="0"/>
              <w:right w:val="single" w:color="000000" w:sz="4" w:space="0"/>
            </w:tcBorders>
            <w:vAlign w:val="center"/>
          </w:tcPr>
          <w:p w14:paraId="241F84E2">
            <w:pPr>
              <w:keepNext w:val="0"/>
              <w:keepLines w:val="0"/>
              <w:pageBreakBefore w:val="0"/>
              <w:widowControl/>
              <w:kinsoku/>
              <w:wordWrap/>
              <w:overflowPunct/>
              <w:topLinePunct w:val="0"/>
              <w:autoSpaceDE/>
              <w:autoSpaceDN/>
              <w:bidi w:val="0"/>
              <w:adjustRightInd/>
              <w:snapToGrid/>
              <w:ind w:firstLine="0"/>
              <w:textAlignment w:val="auto"/>
              <w:rPr>
                <w:color w:val="auto"/>
              </w:rPr>
            </w:pPr>
            <w:r>
              <w:rPr>
                <w:color w:val="auto"/>
              </w:rPr>
              <w:t>团体标准联合制定</w:t>
            </w:r>
          </w:p>
        </w:tc>
      </w:tr>
      <w:tr w14:paraId="343410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jc w:val="center"/>
        </w:trPr>
        <w:tc>
          <w:tcPr>
            <w:tcW w:w="763" w:type="dxa"/>
            <w:tcBorders>
              <w:top w:val="single" w:color="000000" w:sz="4" w:space="0"/>
              <w:left w:val="single" w:color="000000" w:sz="4" w:space="0"/>
              <w:bottom w:val="single" w:color="000000" w:sz="4" w:space="0"/>
              <w:right w:val="single" w:color="000000" w:sz="4" w:space="0"/>
            </w:tcBorders>
            <w:vAlign w:val="center"/>
          </w:tcPr>
          <w:p w14:paraId="05E2611C">
            <w:pPr>
              <w:keepNext w:val="0"/>
              <w:keepLines w:val="0"/>
              <w:pageBreakBefore w:val="0"/>
              <w:widowControl/>
              <w:kinsoku/>
              <w:wordWrap/>
              <w:overflowPunct/>
              <w:topLinePunct w:val="0"/>
              <w:autoSpaceDE/>
              <w:autoSpaceDN/>
              <w:bidi w:val="0"/>
              <w:adjustRightInd/>
              <w:snapToGrid/>
              <w:ind w:firstLine="0"/>
              <w:textAlignment w:val="auto"/>
              <w:rPr>
                <w:color w:val="auto"/>
              </w:rPr>
            </w:pPr>
            <w:r>
              <w:rPr>
                <w:color w:val="auto"/>
              </w:rPr>
              <w:t>3</w:t>
            </w:r>
          </w:p>
        </w:tc>
        <w:tc>
          <w:tcPr>
            <w:tcW w:w="1701" w:type="dxa"/>
            <w:tcBorders>
              <w:top w:val="single" w:color="000000" w:sz="4" w:space="0"/>
              <w:left w:val="nil"/>
              <w:bottom w:val="single" w:color="000000" w:sz="4" w:space="0"/>
              <w:right w:val="single" w:color="000000" w:sz="4" w:space="0"/>
            </w:tcBorders>
            <w:vAlign w:val="center"/>
          </w:tcPr>
          <w:p w14:paraId="58B4160F">
            <w:pPr>
              <w:keepNext w:val="0"/>
              <w:keepLines w:val="0"/>
              <w:pageBreakBefore w:val="0"/>
              <w:widowControl/>
              <w:kinsoku/>
              <w:wordWrap/>
              <w:overflowPunct/>
              <w:topLinePunct w:val="0"/>
              <w:autoSpaceDE/>
              <w:autoSpaceDN/>
              <w:bidi w:val="0"/>
              <w:adjustRightInd/>
              <w:snapToGrid/>
              <w:ind w:firstLine="0"/>
              <w:textAlignment w:val="auto"/>
              <w:rPr>
                <w:color w:val="auto"/>
              </w:rPr>
            </w:pPr>
            <w:r>
              <w:rPr>
                <w:color w:val="auto"/>
              </w:rPr>
              <w:t>校企合作</w:t>
            </w:r>
            <w:r>
              <w:rPr>
                <w:color w:val="auto"/>
              </w:rPr>
              <w:br w:type="textWrapping"/>
            </w:r>
            <w:r>
              <w:rPr>
                <w:color w:val="auto"/>
              </w:rPr>
              <w:t>技术应用</w:t>
            </w:r>
          </w:p>
        </w:tc>
        <w:tc>
          <w:tcPr>
            <w:tcW w:w="2268" w:type="dxa"/>
            <w:tcBorders>
              <w:top w:val="single" w:color="000000" w:sz="4" w:space="0"/>
              <w:left w:val="nil"/>
              <w:bottom w:val="single" w:color="000000" w:sz="4" w:space="0"/>
              <w:right w:val="single" w:color="000000" w:sz="4" w:space="0"/>
            </w:tcBorders>
            <w:vAlign w:val="center"/>
          </w:tcPr>
          <w:p w14:paraId="0FBF21B5">
            <w:pPr>
              <w:keepNext w:val="0"/>
              <w:keepLines w:val="0"/>
              <w:pageBreakBefore w:val="0"/>
              <w:widowControl/>
              <w:kinsoku/>
              <w:wordWrap/>
              <w:overflowPunct/>
              <w:topLinePunct w:val="0"/>
              <w:autoSpaceDE/>
              <w:autoSpaceDN/>
              <w:bidi w:val="0"/>
              <w:adjustRightInd/>
              <w:snapToGrid/>
              <w:ind w:firstLine="0"/>
              <w:textAlignment w:val="auto"/>
              <w:rPr>
                <w:color w:val="auto"/>
              </w:rPr>
            </w:pPr>
            <w:r>
              <w:rPr>
                <w:color w:val="auto"/>
              </w:rPr>
              <w:t>李晓记（桂林电子科技大学）</w:t>
            </w:r>
            <w:r>
              <w:rPr>
                <w:color w:val="auto"/>
              </w:rPr>
              <w:br w:type="textWrapping"/>
            </w:r>
            <w:r>
              <w:rPr>
                <w:color w:val="auto"/>
              </w:rPr>
              <w:t>罗丽燕（桂林电子科技大学）</w:t>
            </w:r>
          </w:p>
        </w:tc>
        <w:tc>
          <w:tcPr>
            <w:tcW w:w="1275" w:type="dxa"/>
            <w:tcBorders>
              <w:top w:val="single" w:color="000000" w:sz="4" w:space="0"/>
              <w:left w:val="nil"/>
              <w:bottom w:val="single" w:color="000000" w:sz="4" w:space="0"/>
              <w:right w:val="single" w:color="000000" w:sz="4" w:space="0"/>
            </w:tcBorders>
            <w:vAlign w:val="center"/>
          </w:tcPr>
          <w:p w14:paraId="327CD194">
            <w:pPr>
              <w:keepNext w:val="0"/>
              <w:keepLines w:val="0"/>
              <w:pageBreakBefore w:val="0"/>
              <w:widowControl/>
              <w:kinsoku/>
              <w:wordWrap/>
              <w:overflowPunct/>
              <w:topLinePunct w:val="0"/>
              <w:autoSpaceDE/>
              <w:autoSpaceDN/>
              <w:bidi w:val="0"/>
              <w:adjustRightInd/>
              <w:snapToGrid/>
              <w:ind w:firstLine="0"/>
              <w:textAlignment w:val="auto"/>
              <w:rPr>
                <w:color w:val="auto"/>
              </w:rPr>
            </w:pPr>
            <w:r>
              <w:rPr>
                <w:color w:val="auto"/>
              </w:rPr>
              <w:t>2018年至今</w:t>
            </w:r>
          </w:p>
        </w:tc>
        <w:tc>
          <w:tcPr>
            <w:tcW w:w="5387" w:type="dxa"/>
            <w:tcBorders>
              <w:top w:val="single" w:color="000000" w:sz="4" w:space="0"/>
              <w:left w:val="nil"/>
              <w:bottom w:val="single" w:color="000000" w:sz="4" w:space="0"/>
              <w:right w:val="single" w:color="000000" w:sz="4" w:space="0"/>
            </w:tcBorders>
            <w:vAlign w:val="center"/>
          </w:tcPr>
          <w:p w14:paraId="7980F6C6">
            <w:pPr>
              <w:keepNext w:val="0"/>
              <w:keepLines w:val="0"/>
              <w:pageBreakBefore w:val="0"/>
              <w:widowControl/>
              <w:kinsoku/>
              <w:wordWrap/>
              <w:overflowPunct/>
              <w:topLinePunct w:val="0"/>
              <w:autoSpaceDE/>
              <w:autoSpaceDN/>
              <w:bidi w:val="0"/>
              <w:adjustRightInd/>
              <w:snapToGrid/>
              <w:ind w:firstLine="0"/>
              <w:textAlignment w:val="auto"/>
              <w:rPr>
                <w:color w:val="auto"/>
              </w:rPr>
            </w:pPr>
            <w:r>
              <w:rPr>
                <w:color w:val="auto"/>
              </w:rPr>
              <w:t>室内可见光定位技术、Wi-Fi样本数据优化方法研究，获授权发明专利2项</w:t>
            </w:r>
          </w:p>
        </w:tc>
        <w:tc>
          <w:tcPr>
            <w:tcW w:w="1134" w:type="dxa"/>
            <w:tcBorders>
              <w:top w:val="single" w:color="000000" w:sz="4" w:space="0"/>
              <w:left w:val="nil"/>
              <w:bottom w:val="single" w:color="000000" w:sz="4" w:space="0"/>
              <w:right w:val="single" w:color="000000" w:sz="4" w:space="0"/>
            </w:tcBorders>
            <w:vAlign w:val="center"/>
          </w:tcPr>
          <w:p w14:paraId="63880C3A">
            <w:pPr>
              <w:keepNext w:val="0"/>
              <w:keepLines w:val="0"/>
              <w:pageBreakBefore w:val="0"/>
              <w:widowControl/>
              <w:kinsoku/>
              <w:wordWrap/>
              <w:overflowPunct/>
              <w:topLinePunct w:val="0"/>
              <w:autoSpaceDE/>
              <w:autoSpaceDN/>
              <w:bidi w:val="0"/>
              <w:adjustRightInd/>
              <w:snapToGrid/>
              <w:ind w:firstLine="0"/>
              <w:textAlignment w:val="auto"/>
              <w:rPr>
                <w:color w:val="auto"/>
              </w:rPr>
            </w:pPr>
            <w:r>
              <w:rPr>
                <w:color w:val="auto"/>
              </w:rPr>
              <w:t>1-4, 1-5</w:t>
            </w:r>
          </w:p>
        </w:tc>
        <w:tc>
          <w:tcPr>
            <w:tcW w:w="970" w:type="dxa"/>
            <w:tcBorders>
              <w:top w:val="single" w:color="000000" w:sz="4" w:space="0"/>
              <w:left w:val="nil"/>
              <w:bottom w:val="single" w:color="000000" w:sz="4" w:space="0"/>
              <w:right w:val="single" w:color="000000" w:sz="4" w:space="0"/>
            </w:tcBorders>
            <w:vAlign w:val="center"/>
          </w:tcPr>
          <w:p w14:paraId="754A0879">
            <w:pPr>
              <w:keepNext w:val="0"/>
              <w:keepLines w:val="0"/>
              <w:pageBreakBefore w:val="0"/>
              <w:widowControl/>
              <w:kinsoku/>
              <w:wordWrap/>
              <w:overflowPunct/>
              <w:topLinePunct w:val="0"/>
              <w:autoSpaceDE/>
              <w:autoSpaceDN/>
              <w:bidi w:val="0"/>
              <w:adjustRightInd/>
              <w:snapToGrid/>
              <w:ind w:firstLine="0"/>
              <w:textAlignment w:val="auto"/>
              <w:rPr>
                <w:color w:val="auto"/>
              </w:rPr>
            </w:pPr>
            <w:r>
              <w:rPr>
                <w:color w:val="auto"/>
              </w:rPr>
              <w:t>定位技术联合研发</w:t>
            </w:r>
          </w:p>
        </w:tc>
      </w:tr>
      <w:tr w14:paraId="26D69B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jc w:val="center"/>
        </w:trPr>
        <w:tc>
          <w:tcPr>
            <w:tcW w:w="763" w:type="dxa"/>
            <w:tcBorders>
              <w:top w:val="single" w:color="000000" w:sz="4" w:space="0"/>
              <w:left w:val="single" w:color="000000" w:sz="4" w:space="0"/>
              <w:bottom w:val="single" w:color="000000" w:sz="4" w:space="0"/>
              <w:right w:val="single" w:color="000000" w:sz="4" w:space="0"/>
            </w:tcBorders>
            <w:vAlign w:val="center"/>
          </w:tcPr>
          <w:p w14:paraId="4C652DFB">
            <w:pPr>
              <w:keepNext w:val="0"/>
              <w:keepLines w:val="0"/>
              <w:pageBreakBefore w:val="0"/>
              <w:widowControl/>
              <w:kinsoku/>
              <w:wordWrap/>
              <w:overflowPunct/>
              <w:topLinePunct w:val="0"/>
              <w:autoSpaceDE/>
              <w:autoSpaceDN/>
              <w:bidi w:val="0"/>
              <w:adjustRightInd/>
              <w:snapToGrid/>
              <w:ind w:firstLine="0"/>
              <w:textAlignment w:val="auto"/>
              <w:rPr>
                <w:color w:val="auto"/>
              </w:rPr>
            </w:pPr>
            <w:r>
              <w:rPr>
                <w:color w:val="auto"/>
              </w:rPr>
              <w:t>4</w:t>
            </w:r>
          </w:p>
        </w:tc>
        <w:tc>
          <w:tcPr>
            <w:tcW w:w="1701" w:type="dxa"/>
            <w:tcBorders>
              <w:top w:val="single" w:color="000000" w:sz="4" w:space="0"/>
              <w:left w:val="nil"/>
              <w:bottom w:val="single" w:color="000000" w:sz="4" w:space="0"/>
              <w:right w:val="single" w:color="000000" w:sz="4" w:space="0"/>
            </w:tcBorders>
            <w:vAlign w:val="center"/>
          </w:tcPr>
          <w:p w14:paraId="60A1E0BB">
            <w:pPr>
              <w:keepNext w:val="0"/>
              <w:keepLines w:val="0"/>
              <w:pageBreakBefore w:val="0"/>
              <w:widowControl/>
              <w:kinsoku/>
              <w:wordWrap/>
              <w:overflowPunct/>
              <w:topLinePunct w:val="0"/>
              <w:autoSpaceDE/>
              <w:autoSpaceDN/>
              <w:bidi w:val="0"/>
              <w:adjustRightInd/>
              <w:snapToGrid/>
              <w:ind w:firstLine="0"/>
              <w:textAlignment w:val="auto"/>
              <w:rPr>
                <w:color w:val="auto"/>
              </w:rPr>
            </w:pPr>
            <w:r>
              <w:rPr>
                <w:color w:val="auto"/>
              </w:rPr>
              <w:t>校企合作</w:t>
            </w:r>
            <w:r>
              <w:rPr>
                <w:color w:val="auto"/>
              </w:rPr>
              <w:br w:type="textWrapping"/>
            </w:r>
            <w:r>
              <w:rPr>
                <w:color w:val="auto"/>
              </w:rPr>
              <w:t>成果转化</w:t>
            </w:r>
          </w:p>
        </w:tc>
        <w:tc>
          <w:tcPr>
            <w:tcW w:w="2268" w:type="dxa"/>
            <w:tcBorders>
              <w:top w:val="single" w:color="000000" w:sz="4" w:space="0"/>
              <w:left w:val="nil"/>
              <w:bottom w:val="single" w:color="000000" w:sz="4" w:space="0"/>
              <w:right w:val="single" w:color="000000" w:sz="4" w:space="0"/>
            </w:tcBorders>
            <w:vAlign w:val="center"/>
          </w:tcPr>
          <w:p w14:paraId="3D374B03">
            <w:pPr>
              <w:keepNext w:val="0"/>
              <w:keepLines w:val="0"/>
              <w:pageBreakBefore w:val="0"/>
              <w:widowControl/>
              <w:kinsoku/>
              <w:wordWrap/>
              <w:overflowPunct/>
              <w:topLinePunct w:val="0"/>
              <w:autoSpaceDE/>
              <w:autoSpaceDN/>
              <w:bidi w:val="0"/>
              <w:adjustRightInd/>
              <w:snapToGrid/>
              <w:ind w:firstLine="0"/>
              <w:textAlignment w:val="auto"/>
              <w:rPr>
                <w:color w:val="auto"/>
              </w:rPr>
            </w:pPr>
            <w:r>
              <w:rPr>
                <w:color w:val="auto"/>
              </w:rPr>
              <w:t>钟磊（中国移动广西公司）</w:t>
            </w:r>
            <w:r>
              <w:rPr>
                <w:color w:val="auto"/>
              </w:rPr>
              <w:br w:type="textWrapping"/>
            </w:r>
            <w:r>
              <w:rPr>
                <w:color w:val="auto"/>
              </w:rPr>
              <w:t>林亮（中国移动广西公司）</w:t>
            </w:r>
          </w:p>
        </w:tc>
        <w:tc>
          <w:tcPr>
            <w:tcW w:w="1275" w:type="dxa"/>
            <w:tcBorders>
              <w:top w:val="single" w:color="000000" w:sz="4" w:space="0"/>
              <w:left w:val="nil"/>
              <w:bottom w:val="single" w:color="000000" w:sz="4" w:space="0"/>
              <w:right w:val="single" w:color="000000" w:sz="4" w:space="0"/>
            </w:tcBorders>
            <w:vAlign w:val="center"/>
          </w:tcPr>
          <w:p w14:paraId="0D458D35">
            <w:pPr>
              <w:keepNext w:val="0"/>
              <w:keepLines w:val="0"/>
              <w:pageBreakBefore w:val="0"/>
              <w:widowControl/>
              <w:kinsoku/>
              <w:wordWrap/>
              <w:overflowPunct/>
              <w:topLinePunct w:val="0"/>
              <w:autoSpaceDE/>
              <w:autoSpaceDN/>
              <w:bidi w:val="0"/>
              <w:adjustRightInd/>
              <w:snapToGrid/>
              <w:ind w:firstLine="0"/>
              <w:textAlignment w:val="auto"/>
              <w:rPr>
                <w:color w:val="auto"/>
              </w:rPr>
            </w:pPr>
            <w:r>
              <w:rPr>
                <w:color w:val="auto"/>
              </w:rPr>
              <w:t>2018年至今</w:t>
            </w:r>
          </w:p>
        </w:tc>
        <w:tc>
          <w:tcPr>
            <w:tcW w:w="5387" w:type="dxa"/>
            <w:tcBorders>
              <w:top w:val="single" w:color="000000" w:sz="4" w:space="0"/>
              <w:left w:val="nil"/>
              <w:bottom w:val="single" w:color="000000" w:sz="4" w:space="0"/>
              <w:right w:val="single" w:color="000000" w:sz="4" w:space="0"/>
            </w:tcBorders>
            <w:vAlign w:val="center"/>
          </w:tcPr>
          <w:p w14:paraId="4046D8EF">
            <w:pPr>
              <w:keepNext w:val="0"/>
              <w:keepLines w:val="0"/>
              <w:pageBreakBefore w:val="0"/>
              <w:widowControl/>
              <w:kinsoku/>
              <w:wordWrap/>
              <w:overflowPunct/>
              <w:topLinePunct w:val="0"/>
              <w:autoSpaceDE/>
              <w:autoSpaceDN/>
              <w:bidi w:val="0"/>
              <w:adjustRightInd/>
              <w:snapToGrid/>
              <w:ind w:firstLine="0"/>
              <w:textAlignment w:val="auto"/>
              <w:rPr>
                <w:color w:val="auto"/>
              </w:rPr>
            </w:pPr>
            <w:r>
              <w:rPr>
                <w:color w:val="auto"/>
              </w:rPr>
              <w:t>数据库安全态势感知系统、小区休眠控制方法研发与现网应用，获授权发明专利2项</w:t>
            </w:r>
          </w:p>
        </w:tc>
        <w:tc>
          <w:tcPr>
            <w:tcW w:w="1134" w:type="dxa"/>
            <w:tcBorders>
              <w:top w:val="single" w:color="000000" w:sz="4" w:space="0"/>
              <w:left w:val="nil"/>
              <w:bottom w:val="single" w:color="000000" w:sz="4" w:space="0"/>
              <w:right w:val="single" w:color="000000" w:sz="4" w:space="0"/>
            </w:tcBorders>
            <w:vAlign w:val="center"/>
          </w:tcPr>
          <w:p w14:paraId="78FD28E1">
            <w:pPr>
              <w:keepNext w:val="0"/>
              <w:keepLines w:val="0"/>
              <w:pageBreakBefore w:val="0"/>
              <w:widowControl/>
              <w:kinsoku/>
              <w:wordWrap/>
              <w:overflowPunct/>
              <w:topLinePunct w:val="0"/>
              <w:autoSpaceDE/>
              <w:autoSpaceDN/>
              <w:bidi w:val="0"/>
              <w:adjustRightInd/>
              <w:snapToGrid/>
              <w:ind w:firstLine="0"/>
              <w:textAlignment w:val="auto"/>
              <w:rPr>
                <w:color w:val="auto"/>
              </w:rPr>
            </w:pPr>
            <w:r>
              <w:rPr>
                <w:color w:val="auto"/>
              </w:rPr>
              <w:t>1-6, 1-7</w:t>
            </w:r>
          </w:p>
        </w:tc>
        <w:tc>
          <w:tcPr>
            <w:tcW w:w="970" w:type="dxa"/>
            <w:tcBorders>
              <w:top w:val="single" w:color="000000" w:sz="4" w:space="0"/>
              <w:left w:val="nil"/>
              <w:bottom w:val="single" w:color="000000" w:sz="4" w:space="0"/>
              <w:right w:val="single" w:color="000000" w:sz="4" w:space="0"/>
            </w:tcBorders>
            <w:vAlign w:val="center"/>
          </w:tcPr>
          <w:p w14:paraId="23163AB3">
            <w:pPr>
              <w:keepNext w:val="0"/>
              <w:keepLines w:val="0"/>
              <w:pageBreakBefore w:val="0"/>
              <w:widowControl/>
              <w:kinsoku/>
              <w:wordWrap/>
              <w:overflowPunct/>
              <w:topLinePunct w:val="0"/>
              <w:autoSpaceDE/>
              <w:autoSpaceDN/>
              <w:bidi w:val="0"/>
              <w:adjustRightInd/>
              <w:snapToGrid/>
              <w:ind w:firstLine="0"/>
              <w:textAlignment w:val="auto"/>
              <w:rPr>
                <w:color w:val="auto"/>
              </w:rPr>
            </w:pPr>
            <w:r>
              <w:rPr>
                <w:color w:val="auto"/>
              </w:rPr>
              <w:t>现网应用与示范</w:t>
            </w:r>
          </w:p>
        </w:tc>
      </w:tr>
      <w:tr w14:paraId="3DDEA0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jc w:val="center"/>
        </w:trPr>
        <w:tc>
          <w:tcPr>
            <w:tcW w:w="763" w:type="dxa"/>
            <w:tcBorders>
              <w:top w:val="single" w:color="000000" w:sz="4" w:space="0"/>
              <w:left w:val="single" w:color="000000" w:sz="4" w:space="0"/>
              <w:bottom w:val="single" w:color="000000" w:sz="4" w:space="0"/>
              <w:right w:val="single" w:color="000000" w:sz="4" w:space="0"/>
            </w:tcBorders>
            <w:vAlign w:val="center"/>
          </w:tcPr>
          <w:p w14:paraId="121299A0">
            <w:pPr>
              <w:keepNext w:val="0"/>
              <w:keepLines w:val="0"/>
              <w:pageBreakBefore w:val="0"/>
              <w:widowControl/>
              <w:kinsoku/>
              <w:wordWrap/>
              <w:overflowPunct/>
              <w:topLinePunct w:val="0"/>
              <w:autoSpaceDE/>
              <w:autoSpaceDN/>
              <w:bidi w:val="0"/>
              <w:adjustRightInd/>
              <w:snapToGrid/>
              <w:ind w:firstLine="0"/>
              <w:textAlignment w:val="auto"/>
              <w:rPr>
                <w:color w:val="auto"/>
              </w:rPr>
            </w:pPr>
            <w:r>
              <w:rPr>
                <w:color w:val="auto"/>
              </w:rPr>
              <w:t>5</w:t>
            </w:r>
          </w:p>
        </w:tc>
        <w:tc>
          <w:tcPr>
            <w:tcW w:w="1701" w:type="dxa"/>
            <w:tcBorders>
              <w:top w:val="single" w:color="000000" w:sz="4" w:space="0"/>
              <w:left w:val="nil"/>
              <w:bottom w:val="single" w:color="000000" w:sz="4" w:space="0"/>
              <w:right w:val="single" w:color="000000" w:sz="4" w:space="0"/>
            </w:tcBorders>
            <w:vAlign w:val="center"/>
          </w:tcPr>
          <w:p w14:paraId="6E9C3F00">
            <w:pPr>
              <w:keepNext w:val="0"/>
              <w:keepLines w:val="0"/>
              <w:pageBreakBefore w:val="0"/>
              <w:widowControl/>
              <w:kinsoku/>
              <w:wordWrap/>
              <w:overflowPunct/>
              <w:topLinePunct w:val="0"/>
              <w:autoSpaceDE/>
              <w:autoSpaceDN/>
              <w:bidi w:val="0"/>
              <w:adjustRightInd/>
              <w:snapToGrid/>
              <w:ind w:firstLine="0"/>
              <w:textAlignment w:val="auto"/>
              <w:rPr>
                <w:color w:val="auto"/>
              </w:rPr>
            </w:pPr>
            <w:r>
              <w:rPr>
                <w:color w:val="auto"/>
              </w:rPr>
              <w:t>产学研合作</w:t>
            </w:r>
            <w:r>
              <w:rPr>
                <w:color w:val="auto"/>
              </w:rPr>
              <w:br w:type="textWrapping"/>
            </w:r>
            <w:r>
              <w:rPr>
                <w:color w:val="auto"/>
              </w:rPr>
              <w:t>国际专利</w:t>
            </w:r>
          </w:p>
        </w:tc>
        <w:tc>
          <w:tcPr>
            <w:tcW w:w="2268" w:type="dxa"/>
            <w:tcBorders>
              <w:top w:val="single" w:color="000000" w:sz="4" w:space="0"/>
              <w:left w:val="nil"/>
              <w:bottom w:val="single" w:color="000000" w:sz="4" w:space="0"/>
              <w:right w:val="single" w:color="000000" w:sz="4" w:space="0"/>
            </w:tcBorders>
            <w:vAlign w:val="center"/>
          </w:tcPr>
          <w:p w14:paraId="7B29E5D2">
            <w:pPr>
              <w:keepNext w:val="0"/>
              <w:keepLines w:val="0"/>
              <w:pageBreakBefore w:val="0"/>
              <w:widowControl/>
              <w:kinsoku/>
              <w:wordWrap/>
              <w:overflowPunct/>
              <w:topLinePunct w:val="0"/>
              <w:autoSpaceDE/>
              <w:autoSpaceDN/>
              <w:bidi w:val="0"/>
              <w:adjustRightInd/>
              <w:snapToGrid/>
              <w:ind w:firstLine="0"/>
              <w:textAlignment w:val="auto"/>
              <w:rPr>
                <w:color w:val="auto"/>
              </w:rPr>
            </w:pPr>
            <w:r>
              <w:rPr>
                <w:color w:val="auto"/>
              </w:rPr>
              <w:t>李澍（烽火通信科技股份有限公司）</w:t>
            </w:r>
            <w:r>
              <w:rPr>
                <w:color w:val="auto"/>
              </w:rPr>
              <w:br w:type="textWrapping"/>
            </w:r>
            <w:r>
              <w:rPr>
                <w:color w:val="auto"/>
              </w:rPr>
              <w:t>叶俊良（</w:t>
            </w:r>
            <w:r>
              <w:rPr>
                <w:rFonts w:hint="eastAsia"/>
                <w:color w:val="auto"/>
              </w:rPr>
              <w:t>华中科技大学</w:t>
            </w:r>
            <w:r>
              <w:rPr>
                <w:color w:val="auto"/>
              </w:rPr>
              <w:t>）</w:t>
            </w:r>
            <w:r>
              <w:rPr>
                <w:color w:val="auto"/>
              </w:rPr>
              <w:br w:type="textWrapping"/>
            </w:r>
            <w:r>
              <w:rPr>
                <w:color w:val="auto"/>
              </w:rPr>
              <w:t>王雪峰（</w:t>
            </w:r>
            <w:r>
              <w:rPr>
                <w:rFonts w:hint="eastAsia"/>
                <w:color w:val="auto"/>
                <w:lang w:val="en-US" w:eastAsia="zh-CN"/>
              </w:rPr>
              <w:t>广西大学</w:t>
            </w:r>
            <w:r>
              <w:rPr>
                <w:color w:val="auto"/>
              </w:rPr>
              <w:t>）</w:t>
            </w:r>
            <w:r>
              <w:rPr>
                <w:color w:val="auto"/>
              </w:rPr>
              <w:br w:type="textWrapping"/>
            </w:r>
            <w:r>
              <w:rPr>
                <w:color w:val="auto"/>
              </w:rPr>
              <w:t>万晖（烽火通信）</w:t>
            </w:r>
            <w:r>
              <w:rPr>
                <w:color w:val="auto"/>
              </w:rPr>
              <w:br w:type="textWrapping"/>
            </w:r>
            <w:r>
              <w:rPr>
                <w:color w:val="auto"/>
              </w:rPr>
              <w:t>禹诚（武汉城市职业学院）</w:t>
            </w:r>
            <w:r>
              <w:rPr>
                <w:color w:val="auto"/>
              </w:rPr>
              <w:br w:type="textWrapping"/>
            </w:r>
            <w:r>
              <w:rPr>
                <w:color w:val="auto"/>
              </w:rPr>
              <w:t>杨庭（</w:t>
            </w:r>
            <w:r>
              <w:rPr>
                <w:rFonts w:hint="eastAsia"/>
                <w:color w:val="auto"/>
              </w:rPr>
              <w:t>湖北华中电力科技开发有限责任公司</w:t>
            </w:r>
            <w:r>
              <w:rPr>
                <w:color w:val="auto"/>
              </w:rPr>
              <w:t>）</w:t>
            </w:r>
          </w:p>
        </w:tc>
        <w:tc>
          <w:tcPr>
            <w:tcW w:w="1275" w:type="dxa"/>
            <w:tcBorders>
              <w:top w:val="single" w:color="000000" w:sz="4" w:space="0"/>
              <w:left w:val="nil"/>
              <w:bottom w:val="single" w:color="000000" w:sz="4" w:space="0"/>
              <w:right w:val="single" w:color="000000" w:sz="4" w:space="0"/>
            </w:tcBorders>
            <w:vAlign w:val="center"/>
          </w:tcPr>
          <w:p w14:paraId="1162AF30">
            <w:pPr>
              <w:keepNext w:val="0"/>
              <w:keepLines w:val="0"/>
              <w:pageBreakBefore w:val="0"/>
              <w:widowControl/>
              <w:kinsoku/>
              <w:wordWrap/>
              <w:overflowPunct/>
              <w:topLinePunct w:val="0"/>
              <w:autoSpaceDE/>
              <w:autoSpaceDN/>
              <w:bidi w:val="0"/>
              <w:adjustRightInd/>
              <w:snapToGrid/>
              <w:ind w:firstLine="0"/>
              <w:textAlignment w:val="auto"/>
              <w:rPr>
                <w:color w:val="auto"/>
              </w:rPr>
            </w:pPr>
            <w:r>
              <w:rPr>
                <w:color w:val="auto"/>
              </w:rPr>
              <w:t>2018年至今</w:t>
            </w:r>
          </w:p>
        </w:tc>
        <w:tc>
          <w:tcPr>
            <w:tcW w:w="5387" w:type="dxa"/>
            <w:tcBorders>
              <w:top w:val="single" w:color="000000" w:sz="4" w:space="0"/>
              <w:left w:val="nil"/>
              <w:bottom w:val="single" w:color="000000" w:sz="4" w:space="0"/>
              <w:right w:val="single" w:color="000000" w:sz="4" w:space="0"/>
            </w:tcBorders>
            <w:vAlign w:val="center"/>
          </w:tcPr>
          <w:p w14:paraId="11E78EB2">
            <w:pPr>
              <w:keepNext w:val="0"/>
              <w:keepLines w:val="0"/>
              <w:pageBreakBefore w:val="0"/>
              <w:widowControl/>
              <w:kinsoku/>
              <w:wordWrap/>
              <w:overflowPunct/>
              <w:topLinePunct w:val="0"/>
              <w:autoSpaceDE/>
              <w:autoSpaceDN/>
              <w:bidi w:val="0"/>
              <w:adjustRightInd/>
              <w:snapToGrid/>
              <w:ind w:firstLine="0"/>
              <w:textAlignment w:val="auto"/>
              <w:rPr>
                <w:color w:val="auto"/>
              </w:rPr>
            </w:pPr>
            <w:r>
              <w:rPr>
                <w:color w:val="auto"/>
              </w:rPr>
              <w:t>网络拓扑优化、多层最短路径查找技术研究，获中国发明专利和马来西亚国际专利各1项</w:t>
            </w:r>
          </w:p>
        </w:tc>
        <w:tc>
          <w:tcPr>
            <w:tcW w:w="1134" w:type="dxa"/>
            <w:tcBorders>
              <w:top w:val="single" w:color="000000" w:sz="4" w:space="0"/>
              <w:left w:val="nil"/>
              <w:bottom w:val="single" w:color="000000" w:sz="4" w:space="0"/>
              <w:right w:val="single" w:color="000000" w:sz="4" w:space="0"/>
            </w:tcBorders>
            <w:vAlign w:val="center"/>
          </w:tcPr>
          <w:p w14:paraId="7B59F65C">
            <w:pPr>
              <w:keepNext w:val="0"/>
              <w:keepLines w:val="0"/>
              <w:pageBreakBefore w:val="0"/>
              <w:widowControl/>
              <w:kinsoku/>
              <w:wordWrap/>
              <w:overflowPunct/>
              <w:topLinePunct w:val="0"/>
              <w:autoSpaceDE/>
              <w:autoSpaceDN/>
              <w:bidi w:val="0"/>
              <w:adjustRightInd/>
              <w:snapToGrid/>
              <w:ind w:firstLine="0"/>
              <w:textAlignment w:val="auto"/>
              <w:rPr>
                <w:color w:val="auto"/>
              </w:rPr>
            </w:pPr>
            <w:r>
              <w:rPr>
                <w:color w:val="auto"/>
              </w:rPr>
              <w:t>1-1, 1-9</w:t>
            </w:r>
          </w:p>
        </w:tc>
        <w:tc>
          <w:tcPr>
            <w:tcW w:w="970" w:type="dxa"/>
            <w:tcBorders>
              <w:top w:val="single" w:color="000000" w:sz="4" w:space="0"/>
              <w:left w:val="nil"/>
              <w:bottom w:val="single" w:color="000000" w:sz="4" w:space="0"/>
              <w:right w:val="single" w:color="000000" w:sz="4" w:space="0"/>
            </w:tcBorders>
            <w:vAlign w:val="center"/>
          </w:tcPr>
          <w:p w14:paraId="454D345D">
            <w:pPr>
              <w:keepNext w:val="0"/>
              <w:keepLines w:val="0"/>
              <w:pageBreakBefore w:val="0"/>
              <w:widowControl/>
              <w:kinsoku/>
              <w:wordWrap/>
              <w:overflowPunct/>
              <w:topLinePunct w:val="0"/>
              <w:autoSpaceDE/>
              <w:autoSpaceDN/>
              <w:bidi w:val="0"/>
              <w:adjustRightInd/>
              <w:snapToGrid/>
              <w:ind w:firstLine="0"/>
              <w:textAlignment w:val="auto"/>
              <w:rPr>
                <w:color w:val="auto"/>
              </w:rPr>
            </w:pPr>
            <w:r>
              <w:rPr>
                <w:color w:val="auto"/>
              </w:rPr>
              <w:t>国际专利联合布局</w:t>
            </w:r>
          </w:p>
        </w:tc>
      </w:tr>
    </w:tbl>
    <w:p w14:paraId="20CEFAC9">
      <w:pPr>
        <w:rPr>
          <w:rFonts w:eastAsia="宋体"/>
          <w:color w:val="auto"/>
        </w:rPr>
      </w:pPr>
    </w:p>
    <w:p w14:paraId="3F77AE16">
      <w:pPr>
        <w:spacing w:line="240" w:lineRule="auto"/>
        <w:rPr>
          <w:color w:val="auto"/>
        </w:rPr>
      </w:pPr>
    </w:p>
    <w:sectPr>
      <w:pgSz w:w="16838" w:h="11906" w:orient="landscape"/>
      <w:pgMar w:top="567" w:right="1440" w:bottom="426" w:left="144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FE35C12-F0EE-4C26-BA67-290FF982B17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2" w:fontKey="{1DAC6684-2371-4F7E-8940-F3EA3CDAF8BC}"/>
  </w:font>
  <w:font w:name="方正小标宋简体">
    <w:panose1 w:val="03000509000000000000"/>
    <w:charset w:val="86"/>
    <w:family w:val="script"/>
    <w:pitch w:val="default"/>
    <w:sig w:usb0="00000001" w:usb1="080E0000" w:usb2="00000000" w:usb3="00000000" w:csb0="00040000" w:csb1="00000000"/>
    <w:embedRegular r:id="rId3" w:fontKey="{3100A511-D5DD-4B36-8A88-B98D3404DCC1}"/>
  </w:font>
  <w:font w:name="方正黑体_GBK">
    <w:panose1 w:val="02000000000000000000"/>
    <w:charset w:val="86"/>
    <w:family w:val="script"/>
    <w:pitch w:val="default"/>
    <w:sig w:usb0="A00002BF" w:usb1="38CF7CFA" w:usb2="00082016" w:usb3="00000000" w:csb0="00040001" w:csb1="00000000"/>
    <w:embedRegular r:id="rId4" w:fontKey="{8E4B4AD7-7D13-490F-A39D-1AF5EAE8EA57}"/>
  </w:font>
  <w:font w:name="方正仿宋_GBK">
    <w:panose1 w:val="02000000000000000000"/>
    <w:charset w:val="86"/>
    <w:family w:val="script"/>
    <w:pitch w:val="default"/>
    <w:sig w:usb0="A00002BF" w:usb1="38CF7CFA" w:usb2="00082016" w:usb3="00000000" w:csb0="00040001" w:csb1="00000000"/>
    <w:embedRegular r:id="rId5" w:fontKey="{08236971-BE76-4649-A9E7-E5F22C6AEF4E}"/>
  </w:font>
  <w:font w:name="WPSEMBED1">
    <w:panose1 w:val="02000000000000000000"/>
    <w:charset w:val="86"/>
    <w:family w:val="auto"/>
    <w:pitch w:val="default"/>
    <w:sig w:usb0="A00002BF" w:usb1="38CF7CFA" w:usb2="00082016" w:usb3="00000000" w:csb0="00040001" w:csb1="00000000"/>
  </w:font>
  <w:font w:name="WPSEMBED2">
    <w:panose1 w:val="02000000000000000000"/>
    <w:charset w:val="86"/>
    <w:family w:val="auto"/>
    <w:pitch w:val="default"/>
    <w:sig w:usb0="A00002BF" w:usb1="38CF7CFA" w:usb2="00082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YwN2VmMzdmZDgwNmM3M2IwYzlmN2M1OTAzY2Y0MjQifQ=="/>
  </w:docVars>
  <w:rsids>
    <w:rsidRoot w:val="00172A27"/>
    <w:rsid w:val="00007C5F"/>
    <w:rsid w:val="0001213B"/>
    <w:rsid w:val="00015DCE"/>
    <w:rsid w:val="00071F43"/>
    <w:rsid w:val="00076197"/>
    <w:rsid w:val="000B1EB8"/>
    <w:rsid w:val="000B2D28"/>
    <w:rsid w:val="000E5D61"/>
    <w:rsid w:val="000F1E71"/>
    <w:rsid w:val="00101DBC"/>
    <w:rsid w:val="001109B0"/>
    <w:rsid w:val="00110F63"/>
    <w:rsid w:val="00114A60"/>
    <w:rsid w:val="00124F9A"/>
    <w:rsid w:val="00127E24"/>
    <w:rsid w:val="00156902"/>
    <w:rsid w:val="0016671D"/>
    <w:rsid w:val="0017193A"/>
    <w:rsid w:val="00172A27"/>
    <w:rsid w:val="001838F4"/>
    <w:rsid w:val="001878CE"/>
    <w:rsid w:val="001920E4"/>
    <w:rsid w:val="001A56C9"/>
    <w:rsid w:val="001A67D7"/>
    <w:rsid w:val="001C340D"/>
    <w:rsid w:val="001C78E7"/>
    <w:rsid w:val="001D441B"/>
    <w:rsid w:val="001D57EA"/>
    <w:rsid w:val="001D7171"/>
    <w:rsid w:val="001E3914"/>
    <w:rsid w:val="00211BD1"/>
    <w:rsid w:val="0021555F"/>
    <w:rsid w:val="00237CD1"/>
    <w:rsid w:val="00243433"/>
    <w:rsid w:val="00246694"/>
    <w:rsid w:val="002645F4"/>
    <w:rsid w:val="002705A4"/>
    <w:rsid w:val="00275C62"/>
    <w:rsid w:val="002812F9"/>
    <w:rsid w:val="00283677"/>
    <w:rsid w:val="002B0E0A"/>
    <w:rsid w:val="002B6196"/>
    <w:rsid w:val="002B6A01"/>
    <w:rsid w:val="002D21F2"/>
    <w:rsid w:val="002D7549"/>
    <w:rsid w:val="002E3EA8"/>
    <w:rsid w:val="002F06A4"/>
    <w:rsid w:val="0030091B"/>
    <w:rsid w:val="00322B5B"/>
    <w:rsid w:val="0033411A"/>
    <w:rsid w:val="00346597"/>
    <w:rsid w:val="0035043F"/>
    <w:rsid w:val="00361BCE"/>
    <w:rsid w:val="00364B84"/>
    <w:rsid w:val="003A097F"/>
    <w:rsid w:val="003A2A5A"/>
    <w:rsid w:val="003C3395"/>
    <w:rsid w:val="003E0C8F"/>
    <w:rsid w:val="00402206"/>
    <w:rsid w:val="00407335"/>
    <w:rsid w:val="00407AC9"/>
    <w:rsid w:val="0042244C"/>
    <w:rsid w:val="00424C5D"/>
    <w:rsid w:val="00427DAE"/>
    <w:rsid w:val="004508A1"/>
    <w:rsid w:val="00454E1A"/>
    <w:rsid w:val="00476D19"/>
    <w:rsid w:val="004B0AB0"/>
    <w:rsid w:val="004C5A9F"/>
    <w:rsid w:val="004C5BBF"/>
    <w:rsid w:val="004D12C0"/>
    <w:rsid w:val="005016CF"/>
    <w:rsid w:val="00502C6E"/>
    <w:rsid w:val="00533698"/>
    <w:rsid w:val="0053766C"/>
    <w:rsid w:val="00573490"/>
    <w:rsid w:val="00583E86"/>
    <w:rsid w:val="0059081E"/>
    <w:rsid w:val="00597277"/>
    <w:rsid w:val="005B2497"/>
    <w:rsid w:val="005C6C22"/>
    <w:rsid w:val="00601EB4"/>
    <w:rsid w:val="006659F7"/>
    <w:rsid w:val="0069428B"/>
    <w:rsid w:val="006979A2"/>
    <w:rsid w:val="006C4900"/>
    <w:rsid w:val="006C5770"/>
    <w:rsid w:val="006E1FD2"/>
    <w:rsid w:val="006E74C8"/>
    <w:rsid w:val="006F4020"/>
    <w:rsid w:val="007155F7"/>
    <w:rsid w:val="0071581A"/>
    <w:rsid w:val="00747D72"/>
    <w:rsid w:val="007601F9"/>
    <w:rsid w:val="00761A6B"/>
    <w:rsid w:val="00764366"/>
    <w:rsid w:val="007670FA"/>
    <w:rsid w:val="0077233A"/>
    <w:rsid w:val="007727F5"/>
    <w:rsid w:val="00785D5C"/>
    <w:rsid w:val="007921A1"/>
    <w:rsid w:val="00792DBE"/>
    <w:rsid w:val="007A0CDE"/>
    <w:rsid w:val="007B0F44"/>
    <w:rsid w:val="007C559A"/>
    <w:rsid w:val="007D1B0A"/>
    <w:rsid w:val="007D5BFF"/>
    <w:rsid w:val="008000C8"/>
    <w:rsid w:val="00803EDB"/>
    <w:rsid w:val="00824A1F"/>
    <w:rsid w:val="00843378"/>
    <w:rsid w:val="00844EA8"/>
    <w:rsid w:val="00890145"/>
    <w:rsid w:val="008950A4"/>
    <w:rsid w:val="008B23B6"/>
    <w:rsid w:val="008C1360"/>
    <w:rsid w:val="008E748D"/>
    <w:rsid w:val="00915C21"/>
    <w:rsid w:val="0093530F"/>
    <w:rsid w:val="00941C9C"/>
    <w:rsid w:val="009732DC"/>
    <w:rsid w:val="0097735F"/>
    <w:rsid w:val="00981ABC"/>
    <w:rsid w:val="00986297"/>
    <w:rsid w:val="009B7E91"/>
    <w:rsid w:val="009D765C"/>
    <w:rsid w:val="009E1CFB"/>
    <w:rsid w:val="009F28C7"/>
    <w:rsid w:val="00A02F8D"/>
    <w:rsid w:val="00A05E00"/>
    <w:rsid w:val="00A11EDE"/>
    <w:rsid w:val="00A15A22"/>
    <w:rsid w:val="00A16801"/>
    <w:rsid w:val="00A256DE"/>
    <w:rsid w:val="00A263E8"/>
    <w:rsid w:val="00A37CB3"/>
    <w:rsid w:val="00A46C1B"/>
    <w:rsid w:val="00A516E9"/>
    <w:rsid w:val="00A52A6C"/>
    <w:rsid w:val="00A64A63"/>
    <w:rsid w:val="00A75335"/>
    <w:rsid w:val="00A87E5A"/>
    <w:rsid w:val="00A955C8"/>
    <w:rsid w:val="00AB06CB"/>
    <w:rsid w:val="00AC0519"/>
    <w:rsid w:val="00AC389A"/>
    <w:rsid w:val="00AD31F3"/>
    <w:rsid w:val="00AD4881"/>
    <w:rsid w:val="00AE053A"/>
    <w:rsid w:val="00B12363"/>
    <w:rsid w:val="00B332AC"/>
    <w:rsid w:val="00B40BC7"/>
    <w:rsid w:val="00B50C1C"/>
    <w:rsid w:val="00B62464"/>
    <w:rsid w:val="00B72BED"/>
    <w:rsid w:val="00B7530E"/>
    <w:rsid w:val="00B76F26"/>
    <w:rsid w:val="00B80098"/>
    <w:rsid w:val="00B80877"/>
    <w:rsid w:val="00B81615"/>
    <w:rsid w:val="00B848A1"/>
    <w:rsid w:val="00B8515A"/>
    <w:rsid w:val="00B91169"/>
    <w:rsid w:val="00BA0C4B"/>
    <w:rsid w:val="00BA795D"/>
    <w:rsid w:val="00BB3414"/>
    <w:rsid w:val="00BC1E44"/>
    <w:rsid w:val="00BC7CFF"/>
    <w:rsid w:val="00BE3A69"/>
    <w:rsid w:val="00C1309E"/>
    <w:rsid w:val="00C1484A"/>
    <w:rsid w:val="00C1640E"/>
    <w:rsid w:val="00C27051"/>
    <w:rsid w:val="00C2791D"/>
    <w:rsid w:val="00C345DB"/>
    <w:rsid w:val="00C35B98"/>
    <w:rsid w:val="00C36EBA"/>
    <w:rsid w:val="00C429A4"/>
    <w:rsid w:val="00C44B2C"/>
    <w:rsid w:val="00C52412"/>
    <w:rsid w:val="00C649D1"/>
    <w:rsid w:val="00C71AF7"/>
    <w:rsid w:val="00C728E8"/>
    <w:rsid w:val="00C80EEA"/>
    <w:rsid w:val="00C82682"/>
    <w:rsid w:val="00C97BAA"/>
    <w:rsid w:val="00CB0003"/>
    <w:rsid w:val="00CB588F"/>
    <w:rsid w:val="00CC0E08"/>
    <w:rsid w:val="00CD3352"/>
    <w:rsid w:val="00CE48C7"/>
    <w:rsid w:val="00CE4E72"/>
    <w:rsid w:val="00D25EF4"/>
    <w:rsid w:val="00D353F3"/>
    <w:rsid w:val="00D45286"/>
    <w:rsid w:val="00D66E56"/>
    <w:rsid w:val="00D673C1"/>
    <w:rsid w:val="00D75B1A"/>
    <w:rsid w:val="00D83983"/>
    <w:rsid w:val="00D97291"/>
    <w:rsid w:val="00DB08D3"/>
    <w:rsid w:val="00DB5277"/>
    <w:rsid w:val="00DC3554"/>
    <w:rsid w:val="00DC7465"/>
    <w:rsid w:val="00DD06DA"/>
    <w:rsid w:val="00DD334D"/>
    <w:rsid w:val="00E16D5B"/>
    <w:rsid w:val="00E20DD7"/>
    <w:rsid w:val="00E2151A"/>
    <w:rsid w:val="00E31752"/>
    <w:rsid w:val="00E3187A"/>
    <w:rsid w:val="00E32D17"/>
    <w:rsid w:val="00E36245"/>
    <w:rsid w:val="00E60D5F"/>
    <w:rsid w:val="00E756B2"/>
    <w:rsid w:val="00EA021B"/>
    <w:rsid w:val="00EC22C4"/>
    <w:rsid w:val="00ED7354"/>
    <w:rsid w:val="00EE27AB"/>
    <w:rsid w:val="00EE6B3E"/>
    <w:rsid w:val="00EF56F9"/>
    <w:rsid w:val="00F14CBE"/>
    <w:rsid w:val="00F40FAC"/>
    <w:rsid w:val="00F54A66"/>
    <w:rsid w:val="00F6074B"/>
    <w:rsid w:val="00F66692"/>
    <w:rsid w:val="00F77A4D"/>
    <w:rsid w:val="00F77DEA"/>
    <w:rsid w:val="00F8246C"/>
    <w:rsid w:val="00F92711"/>
    <w:rsid w:val="00FA1133"/>
    <w:rsid w:val="00FA628E"/>
    <w:rsid w:val="00FE2EDD"/>
    <w:rsid w:val="01320296"/>
    <w:rsid w:val="01A54E7C"/>
    <w:rsid w:val="02CD758C"/>
    <w:rsid w:val="05AA653C"/>
    <w:rsid w:val="099C773B"/>
    <w:rsid w:val="0AEF4B3F"/>
    <w:rsid w:val="10261530"/>
    <w:rsid w:val="136F2AEE"/>
    <w:rsid w:val="1E8B7543"/>
    <w:rsid w:val="215025B4"/>
    <w:rsid w:val="2CD979CA"/>
    <w:rsid w:val="36973EBC"/>
    <w:rsid w:val="37422732"/>
    <w:rsid w:val="37ED49D2"/>
    <w:rsid w:val="3CFC0F3C"/>
    <w:rsid w:val="41C15A00"/>
    <w:rsid w:val="44013AA5"/>
    <w:rsid w:val="4A2D3F4C"/>
    <w:rsid w:val="4AC357AD"/>
    <w:rsid w:val="4B2C3957"/>
    <w:rsid w:val="501D2775"/>
    <w:rsid w:val="52D41ACF"/>
    <w:rsid w:val="53AE6F42"/>
    <w:rsid w:val="562A1D3A"/>
    <w:rsid w:val="59F32486"/>
    <w:rsid w:val="5BFC6DBF"/>
    <w:rsid w:val="5D400DD6"/>
    <w:rsid w:val="5EBC0BC3"/>
    <w:rsid w:val="5F405755"/>
    <w:rsid w:val="611C1DA8"/>
    <w:rsid w:val="621437F0"/>
    <w:rsid w:val="630F079A"/>
    <w:rsid w:val="6459476B"/>
    <w:rsid w:val="65374306"/>
    <w:rsid w:val="67C50E43"/>
    <w:rsid w:val="67D94D68"/>
    <w:rsid w:val="682E590A"/>
    <w:rsid w:val="6AFF0928"/>
    <w:rsid w:val="6C9D6941"/>
    <w:rsid w:val="6CC14A1B"/>
    <w:rsid w:val="74567C89"/>
    <w:rsid w:val="74782AA1"/>
    <w:rsid w:val="75CC1256"/>
    <w:rsid w:val="7628529F"/>
    <w:rsid w:val="76B272E7"/>
    <w:rsid w:val="779260BA"/>
    <w:rsid w:val="7D442DC2"/>
    <w:rsid w:val="7FFF2609"/>
    <w:rsid w:val="EBFB0DA2"/>
    <w:rsid w:val="EDD7B05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qFormat="1" w:uiPriority="0" w:name="annotation text"/>
    <w:lsdException w:qFormat="1" w:uiPriority="99" w:semiHidden="0" w:name="header"/>
    <w:lsdException w:qFormat="1"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qFormat="1" w:uiPriority="0" w:semiHidden="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560" w:lineRule="exact"/>
    </w:pPr>
    <w:rPr>
      <w:rFonts w:ascii="Times New Roman" w:hAnsi="Times New Roman" w:eastAsia="仿宋" w:cs="Times New Roman"/>
      <w:kern w:val="2"/>
      <w:sz w:val="32"/>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0"/>
  </w:style>
  <w:style w:type="paragraph" w:styleId="3">
    <w:name w:val="Plain Text"/>
    <w:basedOn w:val="1"/>
    <w:link w:val="13"/>
    <w:unhideWhenUsed/>
    <w:qFormat/>
    <w:uiPriority w:val="0"/>
    <w:pPr>
      <w:widowControl w:val="0"/>
      <w:spacing w:line="360" w:lineRule="auto"/>
      <w:ind w:firstLine="480" w:firstLineChars="200"/>
      <w:jc w:val="both"/>
    </w:pPr>
    <w:rPr>
      <w:rFonts w:hint="eastAsia" w:ascii="仿宋" w:eastAsia="宋体"/>
      <w:sz w:val="24"/>
      <w:szCs w:val="20"/>
    </w:rPr>
  </w:style>
  <w:style w:type="paragraph" w:styleId="4">
    <w:name w:val="footer"/>
    <w:basedOn w:val="1"/>
    <w:link w:val="15"/>
    <w:unhideWhenUsed/>
    <w:qFormat/>
    <w:uiPriority w:val="99"/>
    <w:pPr>
      <w:tabs>
        <w:tab w:val="center" w:pos="4153"/>
        <w:tab w:val="right" w:pos="8306"/>
      </w:tabs>
      <w:snapToGrid w:val="0"/>
      <w:spacing w:line="240" w:lineRule="atLeast"/>
    </w:pPr>
    <w:rPr>
      <w:sz w:val="18"/>
      <w:szCs w:val="18"/>
    </w:rPr>
  </w:style>
  <w:style w:type="paragraph" w:styleId="5">
    <w:name w:val="header"/>
    <w:basedOn w:val="1"/>
    <w:link w:val="14"/>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6">
    <w:name w:val="Normal (Web)"/>
    <w:basedOn w:val="1"/>
    <w:unhideWhenUsed/>
    <w:qFormat/>
    <w:uiPriority w:val="99"/>
    <w:rPr>
      <w:sz w:val="24"/>
    </w:rPr>
  </w:style>
  <w:style w:type="table" w:styleId="8">
    <w:name w:val="Table Grid"/>
    <w:basedOn w:val="7"/>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0">
    <w:name w:val="Hyperlink"/>
    <w:basedOn w:val="9"/>
    <w:unhideWhenUsed/>
    <w:qFormat/>
    <w:uiPriority w:val="99"/>
    <w:rPr>
      <w:color w:val="0000FF" w:themeColor="hyperlink"/>
      <w:u w:val="single"/>
      <w14:textFill>
        <w14:solidFill>
          <w14:schemeClr w14:val="hlink"/>
        </w14:solidFill>
      </w14:textFill>
    </w:rPr>
  </w:style>
  <w:style w:type="character" w:styleId="11">
    <w:name w:val="annotation reference"/>
    <w:basedOn w:val="9"/>
    <w:semiHidden/>
    <w:unhideWhenUsed/>
    <w:qFormat/>
    <w:uiPriority w:val="0"/>
    <w:rPr>
      <w:sz w:val="21"/>
      <w:szCs w:val="21"/>
    </w:rPr>
  </w:style>
  <w:style w:type="paragraph" w:customStyle="1" w:styleId="12">
    <w:name w:val="Default"/>
    <w:unhideWhenUsed/>
    <w:qFormat/>
    <w:uiPriority w:val="99"/>
    <w:pPr>
      <w:widowControl w:val="0"/>
      <w:autoSpaceDE w:val="0"/>
      <w:autoSpaceDN w:val="0"/>
      <w:adjustRightInd w:val="0"/>
      <w:spacing w:after="160" w:line="278" w:lineRule="auto"/>
    </w:pPr>
    <w:rPr>
      <w:rFonts w:ascii="宋体" w:hAnsi="宋体" w:eastAsia="宋体" w:cs="Times New Roman"/>
      <w:color w:val="000000"/>
      <w:sz w:val="24"/>
      <w:lang w:val="en-US" w:eastAsia="zh-CN" w:bidi="ar-SA"/>
    </w:rPr>
  </w:style>
  <w:style w:type="character" w:customStyle="1" w:styleId="13">
    <w:name w:val="纯文本 字符"/>
    <w:link w:val="3"/>
    <w:qFormat/>
    <w:uiPriority w:val="0"/>
    <w:rPr>
      <w:rFonts w:ascii="仿宋" w:hAnsi="Times New Roman" w:eastAsia="宋体" w:cs="Times New Roman"/>
      <w:sz w:val="24"/>
      <w:szCs w:val="20"/>
    </w:rPr>
  </w:style>
  <w:style w:type="character" w:customStyle="1" w:styleId="14">
    <w:name w:val="页眉 字符"/>
    <w:link w:val="5"/>
    <w:qFormat/>
    <w:uiPriority w:val="99"/>
    <w:rPr>
      <w:rFonts w:ascii="Times New Roman" w:hAnsi="Times New Roman" w:eastAsia="仿宋" w:cs="Times New Roman"/>
      <w:sz w:val="18"/>
      <w:szCs w:val="18"/>
    </w:rPr>
  </w:style>
  <w:style w:type="character" w:customStyle="1" w:styleId="15">
    <w:name w:val="页脚 字符"/>
    <w:link w:val="4"/>
    <w:qFormat/>
    <w:uiPriority w:val="99"/>
    <w:rPr>
      <w:rFonts w:ascii="Times New Roman" w:hAnsi="Times New Roman" w:eastAsia="仿宋" w:cs="Times New Roman"/>
      <w:sz w:val="18"/>
      <w:szCs w:val="18"/>
    </w:rPr>
  </w:style>
  <w:style w:type="character" w:customStyle="1" w:styleId="16">
    <w:name w:val="17"/>
    <w:basedOn w:val="9"/>
    <w:qFormat/>
    <w:uiPriority w:val="0"/>
    <w:rPr>
      <w:rFonts w:hint="eastAsia" w:ascii="仿宋" w:eastAsia="仿宋"/>
      <w:b/>
      <w:bCs/>
      <w:kern w:val="44"/>
      <w:sz w:val="44"/>
      <w:szCs w:val="44"/>
    </w:rPr>
  </w:style>
  <w:style w:type="paragraph" w:styleId="17">
    <w:name w:val="List Paragraph"/>
    <w:basedOn w:val="1"/>
    <w:unhideWhenUsed/>
    <w:qFormat/>
    <w:uiPriority w:val="99"/>
    <w:pPr>
      <w:ind w:firstLine="420" w:firstLineChars="200"/>
    </w:pPr>
  </w:style>
  <w:style w:type="table" w:customStyle="1" w:styleId="18">
    <w:name w:val="网格型1"/>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11</Pages>
  <Words>4043</Words>
  <Characters>4545</Characters>
  <Lines>4</Lines>
  <Paragraphs>1</Paragraphs>
  <TotalTime>14</TotalTime>
  <ScaleCrop>false</ScaleCrop>
  <LinksUpToDate>false</LinksUpToDate>
  <CharactersWithSpaces>4599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2023-08-10T17:06:00Z</dcterms:created>
  <dc:creator>whx</dc:creator>
  <cp:lastModifiedBy>迹夏</cp:lastModifiedBy>
  <dcterms:modified xsi:type="dcterms:W3CDTF">2026-09-24T02:10:34Z</dcterms:modified>
  <dc:title>2021年度广西技术发明奖（科技进步奖）提名公示信息</dc:title>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A765597FBF2A40DC87DD37EF55FC195A_13</vt:lpwstr>
  </property>
  <property fmtid="{D5CDD505-2E9C-101B-9397-08002B2CF9AE}" pid="4" name="KSOTemplateDocerSaveRecord">
    <vt:lpwstr>eyJoZGlkIjoiYzI3MGVjMjFlNGZkYTJmZmZiZTM5ZmE0MDBkYWFhOGQiLCJ1c2VySWQiOiI4OTcxNDM1NjUifQ==</vt:lpwstr>
  </property>
</Properties>
</file>