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D4F2B">
      <w:pPr>
        <w:kinsoku w:val="0"/>
        <w:spacing w:line="660" w:lineRule="exact"/>
        <w:jc w:val="center"/>
        <w:rPr>
          <w:rFonts w:ascii="方正小标宋简体" w:eastAsia="方正小标宋简体"/>
          <w:sz w:val="44"/>
          <w:szCs w:val="44"/>
        </w:rPr>
      </w:pPr>
      <w:r>
        <w:rPr>
          <w:rFonts w:hint="eastAsia" w:ascii="方正小标宋简体" w:eastAsia="方正小标宋简体"/>
          <w:sz w:val="44"/>
          <w:szCs w:val="44"/>
        </w:rPr>
        <w:t>关于开展2026年项目式课程改革</w:t>
      </w:r>
    </w:p>
    <w:p w14:paraId="3102F193">
      <w:pPr>
        <w:kinsoku w:val="0"/>
        <w:spacing w:line="660" w:lineRule="exact"/>
        <w:jc w:val="center"/>
        <w:rPr>
          <w:rFonts w:ascii="方正小标宋简体" w:eastAsia="方正小标宋简体"/>
          <w:sz w:val="44"/>
          <w:szCs w:val="44"/>
        </w:rPr>
      </w:pPr>
      <w:r>
        <w:rPr>
          <w:rFonts w:hint="eastAsia" w:ascii="方正小标宋简体" w:eastAsia="方正小标宋简体"/>
          <w:sz w:val="44"/>
          <w:szCs w:val="44"/>
          <w:lang w:val="en-US" w:eastAsia="zh-CN"/>
        </w:rPr>
        <w:t>第二次</w:t>
      </w:r>
      <w:r>
        <w:rPr>
          <w:rFonts w:hint="eastAsia" w:ascii="方正小标宋简体" w:eastAsia="方正小标宋简体"/>
          <w:sz w:val="44"/>
          <w:szCs w:val="44"/>
        </w:rPr>
        <w:t>答辩评审工作的通知</w:t>
      </w:r>
      <w:r>
        <w:rPr>
          <w:rFonts w:hint="eastAsia" w:ascii="方正小标宋简体" w:eastAsia="方正小标宋简体"/>
          <w:sz w:val="44"/>
          <w:szCs w:val="44"/>
        </w:rPr>
        <w:br w:type="textWrapping"/>
      </w:r>
    </w:p>
    <w:p w14:paraId="58FA5CC8">
      <w:pPr>
        <w:kinsoku w:val="0"/>
        <w:wordWrap w:val="0"/>
        <w:spacing w:line="560" w:lineRule="exact"/>
        <w:rPr>
          <w:rFonts w:hint="eastAsia" w:ascii="仿宋" w:hAnsi="仿宋" w:eastAsia="仿宋"/>
          <w:sz w:val="32"/>
          <w:szCs w:val="32"/>
        </w:rPr>
      </w:pPr>
      <w:r>
        <w:rPr>
          <w:rFonts w:hint="eastAsia" w:ascii="仿宋" w:hAnsi="仿宋" w:eastAsia="仿宋"/>
          <w:sz w:val="32"/>
          <w:szCs w:val="32"/>
        </w:rPr>
        <w:t>各有关单位：</w:t>
      </w:r>
    </w:p>
    <w:p w14:paraId="17C65055">
      <w:pPr>
        <w:kinsoku w:val="0"/>
        <w:wordWrap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根据工作安排</w:t>
      </w:r>
      <w:r>
        <w:rPr>
          <w:rFonts w:ascii="仿宋" w:hAnsi="仿宋" w:eastAsia="仿宋"/>
          <w:sz w:val="32"/>
          <w:szCs w:val="32"/>
        </w:rPr>
        <w:t>，</w:t>
      </w:r>
      <w:r>
        <w:rPr>
          <w:rFonts w:hint="eastAsia" w:ascii="仿宋" w:hAnsi="仿宋" w:eastAsia="仿宋"/>
          <w:sz w:val="32"/>
          <w:szCs w:val="32"/>
        </w:rPr>
        <w:t>决定开展2026年项目式课程改革</w:t>
      </w:r>
      <w:r>
        <w:rPr>
          <w:rFonts w:hint="eastAsia" w:ascii="仿宋" w:hAnsi="仿宋" w:eastAsia="仿宋"/>
          <w:sz w:val="32"/>
          <w:szCs w:val="32"/>
          <w:lang w:val="en-US" w:eastAsia="zh-CN"/>
        </w:rPr>
        <w:t>第二次</w:t>
      </w:r>
      <w:r>
        <w:rPr>
          <w:rFonts w:hint="eastAsia" w:ascii="仿宋" w:hAnsi="仿宋" w:eastAsia="仿宋"/>
          <w:sz w:val="32"/>
          <w:szCs w:val="32"/>
        </w:rPr>
        <w:t>答辩评审工作，</w:t>
      </w:r>
      <w:r>
        <w:rPr>
          <w:rFonts w:ascii="仿宋" w:hAnsi="仿宋" w:eastAsia="仿宋"/>
          <w:sz w:val="32"/>
          <w:szCs w:val="32"/>
        </w:rPr>
        <w:t>现</w:t>
      </w:r>
      <w:r>
        <w:rPr>
          <w:rFonts w:hint="eastAsia" w:ascii="仿宋" w:hAnsi="仿宋" w:eastAsia="仿宋"/>
          <w:sz w:val="32"/>
          <w:szCs w:val="32"/>
        </w:rPr>
        <w:t>将有关事项通知如下：</w:t>
      </w:r>
    </w:p>
    <w:p w14:paraId="2E048108">
      <w:pPr>
        <w:kinsoku w:val="0"/>
        <w:wordWrap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w:t>
      </w:r>
      <w:r>
        <w:rPr>
          <w:rFonts w:ascii="黑体" w:hAnsi="黑体" w:eastAsia="黑体"/>
          <w:sz w:val="32"/>
          <w:szCs w:val="32"/>
        </w:rPr>
        <w:t>、答辩</w:t>
      </w:r>
      <w:r>
        <w:rPr>
          <w:rFonts w:hint="eastAsia" w:ascii="黑体" w:hAnsi="黑体" w:eastAsia="黑体"/>
          <w:sz w:val="32"/>
          <w:szCs w:val="32"/>
        </w:rPr>
        <w:t>名单</w:t>
      </w:r>
    </w:p>
    <w:p w14:paraId="357F3C57">
      <w:pPr>
        <w:kinsoku w:val="0"/>
        <w:wordWrap w:val="0"/>
        <w:spacing w:line="560" w:lineRule="exact"/>
        <w:ind w:firstLine="640" w:firstLineChars="200"/>
        <w:rPr>
          <w:rFonts w:hint="eastAsia" w:ascii="仿宋" w:hAnsi="仿宋" w:eastAsia="仿宋"/>
          <w:sz w:val="32"/>
          <w:szCs w:val="32"/>
        </w:rPr>
      </w:pPr>
      <w:r>
        <w:rPr>
          <w:rFonts w:ascii="仿宋" w:hAnsi="仿宋" w:eastAsia="仿宋"/>
          <w:sz w:val="32"/>
          <w:szCs w:val="32"/>
        </w:rPr>
        <w:t>答辩名单</w:t>
      </w:r>
      <w:r>
        <w:rPr>
          <w:rFonts w:hint="eastAsia" w:ascii="仿宋" w:hAnsi="仿宋" w:eastAsia="仿宋"/>
          <w:sz w:val="32"/>
          <w:szCs w:val="32"/>
        </w:rPr>
        <w:t>及安排</w:t>
      </w:r>
      <w:r>
        <w:rPr>
          <w:rFonts w:ascii="仿宋" w:hAnsi="仿宋" w:eastAsia="仿宋"/>
          <w:sz w:val="32"/>
          <w:szCs w:val="32"/>
        </w:rPr>
        <w:t>详见附件</w:t>
      </w:r>
      <w:r>
        <w:rPr>
          <w:rFonts w:hint="eastAsia" w:ascii="仿宋" w:hAnsi="仿宋" w:eastAsia="仿宋"/>
          <w:sz w:val="32"/>
          <w:szCs w:val="32"/>
        </w:rPr>
        <w:t>1</w:t>
      </w:r>
      <w:r>
        <w:rPr>
          <w:rFonts w:ascii="仿宋" w:hAnsi="仿宋" w:eastAsia="仿宋"/>
          <w:sz w:val="32"/>
          <w:szCs w:val="32"/>
        </w:rPr>
        <w:t>。</w:t>
      </w:r>
    </w:p>
    <w:p w14:paraId="6D3AA75A">
      <w:pPr>
        <w:kinsoku w:val="0"/>
        <w:wordWrap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二、时间和地点</w:t>
      </w:r>
    </w:p>
    <w:p w14:paraId="1B5BA0F0">
      <w:pPr>
        <w:kinsoku w:val="0"/>
        <w:wordWrap w:val="0"/>
        <w:spacing w:line="560" w:lineRule="exact"/>
        <w:ind w:firstLine="672" w:firstLineChars="224"/>
        <w:rPr>
          <w:rFonts w:hint="eastAsia" w:ascii="仿宋" w:hAnsi="仿宋" w:eastAsia="仿宋"/>
          <w:spacing w:val="-10"/>
          <w:sz w:val="32"/>
          <w:szCs w:val="32"/>
        </w:rPr>
      </w:pPr>
      <w:r>
        <w:rPr>
          <w:rFonts w:hint="eastAsia" w:ascii="仿宋" w:hAnsi="仿宋" w:eastAsia="仿宋"/>
          <w:spacing w:val="-10"/>
          <w:sz w:val="32"/>
          <w:szCs w:val="32"/>
        </w:rPr>
        <w:t>答辩时间：2026年</w:t>
      </w:r>
      <w:r>
        <w:rPr>
          <w:rFonts w:hint="eastAsia" w:ascii="仿宋" w:hAnsi="仿宋" w:eastAsia="仿宋"/>
          <w:spacing w:val="-10"/>
          <w:sz w:val="32"/>
          <w:szCs w:val="32"/>
          <w:lang w:val="en-US" w:eastAsia="zh-CN"/>
        </w:rPr>
        <w:t>7</w:t>
      </w:r>
      <w:r>
        <w:rPr>
          <w:rFonts w:hint="eastAsia" w:ascii="仿宋" w:hAnsi="仿宋" w:eastAsia="仿宋"/>
          <w:spacing w:val="-10"/>
          <w:sz w:val="32"/>
          <w:szCs w:val="32"/>
        </w:rPr>
        <w:t>月</w:t>
      </w:r>
      <w:r>
        <w:rPr>
          <w:rFonts w:hint="eastAsia" w:ascii="仿宋" w:hAnsi="仿宋" w:eastAsia="仿宋"/>
          <w:spacing w:val="-10"/>
          <w:sz w:val="32"/>
          <w:szCs w:val="32"/>
          <w:lang w:val="en-US" w:eastAsia="zh-CN"/>
        </w:rPr>
        <w:t>9</w:t>
      </w:r>
      <w:r>
        <w:rPr>
          <w:rFonts w:hint="eastAsia" w:ascii="仿宋" w:hAnsi="仿宋" w:eastAsia="仿宋"/>
          <w:spacing w:val="-10"/>
          <w:sz w:val="32"/>
          <w:szCs w:val="32"/>
        </w:rPr>
        <w:t>日8:30-</w:t>
      </w:r>
      <w:r>
        <w:rPr>
          <w:rFonts w:ascii="仿宋" w:hAnsi="仿宋" w:eastAsia="仿宋"/>
          <w:spacing w:val="-10"/>
          <w:sz w:val="32"/>
          <w:szCs w:val="32"/>
        </w:rPr>
        <w:t>12</w:t>
      </w:r>
      <w:r>
        <w:rPr>
          <w:rFonts w:hint="eastAsia" w:ascii="仿宋" w:hAnsi="仿宋" w:eastAsia="仿宋"/>
          <w:spacing w:val="-10"/>
          <w:sz w:val="32"/>
          <w:szCs w:val="32"/>
        </w:rPr>
        <w:t>:00，1</w:t>
      </w:r>
      <w:r>
        <w:rPr>
          <w:rFonts w:hint="eastAsia" w:ascii="仿宋" w:hAnsi="仿宋" w:eastAsia="仿宋"/>
          <w:spacing w:val="-10"/>
          <w:sz w:val="32"/>
          <w:szCs w:val="32"/>
          <w:lang w:val="en-US" w:eastAsia="zh-CN"/>
        </w:rPr>
        <w:t>4</w:t>
      </w:r>
      <w:r>
        <w:rPr>
          <w:rFonts w:hint="eastAsia" w:ascii="仿宋" w:hAnsi="仿宋" w:eastAsia="仿宋"/>
          <w:spacing w:val="-10"/>
          <w:sz w:val="32"/>
          <w:szCs w:val="32"/>
        </w:rPr>
        <w:t>:</w:t>
      </w:r>
      <w:r>
        <w:rPr>
          <w:rFonts w:hint="eastAsia" w:ascii="仿宋" w:hAnsi="仿宋" w:eastAsia="仿宋"/>
          <w:spacing w:val="-10"/>
          <w:sz w:val="32"/>
          <w:szCs w:val="32"/>
          <w:lang w:val="en-US" w:eastAsia="zh-CN"/>
        </w:rPr>
        <w:t>0</w:t>
      </w:r>
      <w:r>
        <w:rPr>
          <w:rFonts w:hint="eastAsia" w:ascii="仿宋" w:hAnsi="仿宋" w:eastAsia="仿宋"/>
          <w:spacing w:val="-10"/>
          <w:sz w:val="32"/>
          <w:szCs w:val="32"/>
        </w:rPr>
        <w:t>0-1</w:t>
      </w:r>
      <w:r>
        <w:rPr>
          <w:rFonts w:hint="eastAsia" w:ascii="仿宋" w:hAnsi="仿宋" w:eastAsia="仿宋"/>
          <w:spacing w:val="-10"/>
          <w:sz w:val="32"/>
          <w:szCs w:val="32"/>
          <w:lang w:val="en-US" w:eastAsia="zh-CN"/>
        </w:rPr>
        <w:t>7</w:t>
      </w:r>
      <w:r>
        <w:rPr>
          <w:rFonts w:hint="eastAsia" w:ascii="仿宋" w:hAnsi="仿宋" w:eastAsia="仿宋"/>
          <w:spacing w:val="-10"/>
          <w:sz w:val="32"/>
          <w:szCs w:val="32"/>
        </w:rPr>
        <w:t>:</w:t>
      </w:r>
      <w:r>
        <w:rPr>
          <w:rFonts w:hint="eastAsia" w:ascii="仿宋" w:hAnsi="仿宋" w:eastAsia="仿宋"/>
          <w:spacing w:val="-10"/>
          <w:sz w:val="32"/>
          <w:szCs w:val="32"/>
          <w:lang w:val="en-US" w:eastAsia="zh-CN"/>
        </w:rPr>
        <w:t>0</w:t>
      </w:r>
      <w:r>
        <w:rPr>
          <w:rFonts w:hint="eastAsia" w:ascii="仿宋" w:hAnsi="仿宋" w:eastAsia="仿宋"/>
          <w:spacing w:val="-10"/>
          <w:sz w:val="32"/>
          <w:szCs w:val="32"/>
        </w:rPr>
        <w:t>0。</w:t>
      </w:r>
    </w:p>
    <w:p w14:paraId="06C8CB58">
      <w:pPr>
        <w:kinsoku w:val="0"/>
        <w:wordWrap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答辩地点</w:t>
      </w:r>
      <w:r>
        <w:rPr>
          <w:rFonts w:hint="eastAsia" w:ascii="仿宋" w:hAnsi="仿宋" w:eastAsia="仿宋"/>
          <w:sz w:val="32"/>
          <w:szCs w:val="32"/>
          <w:lang w:eastAsia="zh-CN"/>
        </w:rPr>
        <w:t>：</w:t>
      </w:r>
      <w:r>
        <w:rPr>
          <w:rFonts w:hint="eastAsia" w:ascii="仿宋" w:hAnsi="仿宋" w:eastAsia="仿宋"/>
          <w:sz w:val="32"/>
          <w:szCs w:val="32"/>
          <w:lang w:val="en-US" w:eastAsia="zh-CN"/>
        </w:rPr>
        <w:t>花江校区图书馆3楼报告厅</w:t>
      </w:r>
      <w:r>
        <w:rPr>
          <w:rFonts w:hint="eastAsia" w:ascii="仿宋" w:hAnsi="仿宋" w:eastAsia="仿宋"/>
          <w:sz w:val="32"/>
          <w:szCs w:val="32"/>
        </w:rPr>
        <w:t>。</w:t>
      </w:r>
    </w:p>
    <w:p w14:paraId="602DA2BE">
      <w:pPr>
        <w:kinsoku w:val="0"/>
        <w:wordWrap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w:t>
      </w:r>
      <w:r>
        <w:rPr>
          <w:rFonts w:ascii="黑体" w:hAnsi="黑体" w:eastAsia="黑体"/>
          <w:sz w:val="32"/>
          <w:szCs w:val="32"/>
        </w:rPr>
        <w:t>、</w:t>
      </w:r>
      <w:r>
        <w:rPr>
          <w:rFonts w:hint="eastAsia" w:ascii="黑体" w:hAnsi="黑体" w:eastAsia="黑体"/>
          <w:sz w:val="32"/>
          <w:szCs w:val="32"/>
        </w:rPr>
        <w:t>答辩要求</w:t>
      </w:r>
    </w:p>
    <w:p w14:paraId="6D0CC775">
      <w:pPr>
        <w:kinsoku w:val="0"/>
        <w:wordWrap w:val="0"/>
        <w:spacing w:line="560" w:lineRule="exact"/>
        <w:ind w:firstLine="640" w:firstLineChars="200"/>
        <w:rPr>
          <w:rFonts w:hint="eastAsia" w:eastAsia="宋体"/>
          <w:lang w:eastAsia="zh-CN"/>
        </w:rPr>
      </w:pPr>
      <w:r>
        <w:rPr>
          <w:rFonts w:hint="eastAsia" w:ascii="仿宋" w:hAnsi="仿宋" w:eastAsia="仿宋"/>
          <w:sz w:val="32"/>
          <w:szCs w:val="32"/>
          <w:lang w:val="en-US" w:eastAsia="zh-CN"/>
        </w:rPr>
        <w:t>1.阐述本次答辩与第一次答辩相比，课程改革方案作出了哪些改进。</w:t>
      </w:r>
    </w:p>
    <w:p w14:paraId="51C94091">
      <w:pPr>
        <w:kinsoku w:val="0"/>
        <w:wordWrap w:val="0"/>
        <w:spacing w:line="560" w:lineRule="exact"/>
        <w:ind w:firstLine="640" w:firstLineChars="200"/>
        <w:rPr>
          <w:rFonts w:hint="eastAsia" w:ascii="仿宋_GB2312" w:eastAsia="仿宋_GB2312" w:hAnsiTheme="minorEastAsia"/>
          <w:sz w:val="30"/>
          <w:szCs w:val="30"/>
        </w:rPr>
      </w:pPr>
      <w:r>
        <w:rPr>
          <w:rFonts w:hint="eastAsia" w:ascii="仿宋" w:hAnsi="仿宋" w:eastAsia="仿宋"/>
          <w:sz w:val="32"/>
          <w:szCs w:val="32"/>
          <w:lang w:val="en-US" w:eastAsia="zh-CN"/>
        </w:rPr>
        <w:t>2.答辩内容须紧密围绕项目式课程改革答辩评价标准（附件2）逐项展开，不添加或拓展标准以外的无关内容。</w:t>
      </w:r>
    </w:p>
    <w:p w14:paraId="30BEE9F2">
      <w:pPr>
        <w:kinsoku w:val="0"/>
        <w:wordWrap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w:t>
      </w:r>
      <w:r>
        <w:rPr>
          <w:rFonts w:ascii="仿宋" w:hAnsi="仿宋" w:eastAsia="仿宋"/>
          <w:sz w:val="32"/>
          <w:szCs w:val="32"/>
        </w:rPr>
        <w:t>答辩分为两个环节：PPT汇报</w:t>
      </w:r>
      <w:r>
        <w:rPr>
          <w:rFonts w:hint="eastAsia" w:ascii="仿宋" w:hAnsi="仿宋" w:eastAsia="仿宋"/>
          <w:sz w:val="32"/>
          <w:szCs w:val="32"/>
          <w:lang w:val="en-US" w:eastAsia="zh-CN"/>
        </w:rPr>
        <w:t>8</w:t>
      </w:r>
      <w:r>
        <w:rPr>
          <w:rFonts w:ascii="仿宋" w:hAnsi="仿宋" w:eastAsia="仿宋"/>
          <w:sz w:val="32"/>
          <w:szCs w:val="32"/>
        </w:rPr>
        <w:t>分钟和专家问答</w:t>
      </w:r>
      <w:r>
        <w:rPr>
          <w:rFonts w:hint="eastAsia" w:ascii="仿宋" w:hAnsi="仿宋" w:eastAsia="仿宋"/>
          <w:sz w:val="32"/>
          <w:szCs w:val="32"/>
          <w:lang w:val="en-US" w:eastAsia="zh-CN"/>
        </w:rPr>
        <w:t>7</w:t>
      </w:r>
      <w:r>
        <w:rPr>
          <w:rFonts w:ascii="仿宋" w:hAnsi="仿宋" w:eastAsia="仿宋"/>
          <w:sz w:val="32"/>
          <w:szCs w:val="32"/>
        </w:rPr>
        <w:t>分钟，总时长严格控制在</w:t>
      </w:r>
      <w:r>
        <w:rPr>
          <w:rFonts w:hint="eastAsia" w:ascii="仿宋" w:hAnsi="仿宋" w:eastAsia="仿宋"/>
          <w:sz w:val="32"/>
          <w:szCs w:val="32"/>
          <w:lang w:val="en-US" w:eastAsia="zh-CN"/>
        </w:rPr>
        <w:t>15</w:t>
      </w:r>
      <w:r>
        <w:rPr>
          <w:rFonts w:ascii="仿宋" w:hAnsi="仿宋" w:eastAsia="仿宋"/>
          <w:sz w:val="32"/>
          <w:szCs w:val="32"/>
        </w:rPr>
        <w:t>分钟以内。</w:t>
      </w:r>
    </w:p>
    <w:p w14:paraId="2721B8A4">
      <w:pPr>
        <w:kinsoku w:val="0"/>
        <w:wordWrap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3.</w:t>
      </w:r>
      <w:r>
        <w:rPr>
          <w:rFonts w:ascii="仿宋" w:hAnsi="仿宋" w:eastAsia="仿宋"/>
          <w:sz w:val="32"/>
          <w:szCs w:val="32"/>
        </w:rPr>
        <w:t>每个项目的答辩须由项目负责人及团队成员（共计</w:t>
      </w:r>
      <w:r>
        <w:rPr>
          <w:rFonts w:hint="eastAsia" w:ascii="仿宋" w:hAnsi="仿宋" w:eastAsia="仿宋"/>
          <w:sz w:val="32"/>
          <w:szCs w:val="32"/>
        </w:rPr>
        <w:t>5</w:t>
      </w:r>
      <w:r>
        <w:rPr>
          <w:rFonts w:ascii="仿宋" w:hAnsi="仿宋" w:eastAsia="仿宋"/>
          <w:sz w:val="32"/>
          <w:szCs w:val="32"/>
        </w:rPr>
        <w:t>人及以上）共同参加，答辩过程中成员</w:t>
      </w:r>
      <w:r>
        <w:rPr>
          <w:rFonts w:hint="eastAsia" w:ascii="仿宋" w:hAnsi="仿宋" w:eastAsia="仿宋"/>
          <w:sz w:val="32"/>
          <w:szCs w:val="32"/>
        </w:rPr>
        <w:t>均</w:t>
      </w:r>
      <w:r>
        <w:rPr>
          <w:rFonts w:ascii="仿宋" w:hAnsi="仿宋" w:eastAsia="仿宋"/>
          <w:sz w:val="32"/>
          <w:szCs w:val="32"/>
        </w:rPr>
        <w:t>需参与回答问题。</w:t>
      </w:r>
    </w:p>
    <w:p w14:paraId="67FC1C2B">
      <w:pPr>
        <w:kinsoku w:val="0"/>
        <w:wordWrap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w:t>
      </w:r>
      <w:r>
        <w:rPr>
          <w:rFonts w:ascii="仿宋" w:hAnsi="仿宋" w:eastAsia="仿宋"/>
          <w:sz w:val="32"/>
          <w:szCs w:val="32"/>
        </w:rPr>
        <w:t>学院</w:t>
      </w:r>
      <w:r>
        <w:rPr>
          <w:rFonts w:hint="eastAsia" w:ascii="仿宋" w:hAnsi="仿宋" w:eastAsia="仿宋"/>
          <w:sz w:val="32"/>
          <w:szCs w:val="32"/>
        </w:rPr>
        <w:t>分管教学的副院长及</w:t>
      </w:r>
      <w:r>
        <w:rPr>
          <w:rFonts w:ascii="仿宋" w:hAnsi="仿宋" w:eastAsia="仿宋"/>
          <w:sz w:val="32"/>
          <w:szCs w:val="32"/>
        </w:rPr>
        <w:t>项目式教学改革团队成员</w:t>
      </w:r>
      <w:r>
        <w:rPr>
          <w:rFonts w:hint="eastAsia" w:ascii="仿宋" w:hAnsi="仿宋" w:eastAsia="仿宋"/>
          <w:sz w:val="32"/>
          <w:szCs w:val="32"/>
        </w:rPr>
        <w:t>须</w:t>
      </w:r>
      <w:r>
        <w:rPr>
          <w:rFonts w:ascii="仿宋" w:hAnsi="仿宋" w:eastAsia="仿宋"/>
          <w:sz w:val="32"/>
          <w:szCs w:val="32"/>
        </w:rPr>
        <w:t>全程参加答辩，认真学习并借鉴各项目的优秀经验。除特殊情况外，不得请假。</w:t>
      </w:r>
      <w:r>
        <w:rPr>
          <w:rFonts w:hint="eastAsia" w:ascii="仿宋" w:hAnsi="仿宋" w:eastAsia="仿宋"/>
          <w:sz w:val="32"/>
          <w:szCs w:val="32"/>
        </w:rPr>
        <w:t>鼓励后续计划申报项目式课程改革的老师及其他感兴趣的老师积极参加。</w:t>
      </w:r>
    </w:p>
    <w:p w14:paraId="4DD185FF">
      <w:pPr>
        <w:kinsoku w:val="0"/>
        <w:wordWrap w:val="0"/>
        <w:spacing w:line="560" w:lineRule="exact"/>
        <w:ind w:firstLine="640" w:firstLineChars="200"/>
        <w:rPr>
          <w:rFonts w:hint="eastAsia" w:ascii="仿宋" w:hAnsi="仿宋" w:eastAsia="仿宋"/>
          <w:sz w:val="32"/>
          <w:szCs w:val="32"/>
        </w:rPr>
      </w:pPr>
      <w:r>
        <w:rPr>
          <w:rFonts w:hint="eastAsia" w:ascii="黑体" w:hAnsi="黑体" w:eastAsia="黑体"/>
          <w:sz w:val="32"/>
          <w:szCs w:val="32"/>
        </w:rPr>
        <w:t>四、其他事项</w:t>
      </w:r>
    </w:p>
    <w:p w14:paraId="7A0E6272">
      <w:pPr>
        <w:kinsoku w:val="0"/>
        <w:wordWrap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请各单位收集答辩PPT电子版，于</w:t>
      </w:r>
      <w:r>
        <w:rPr>
          <w:rFonts w:hint="eastAsia" w:ascii="仿宋" w:hAnsi="仿宋" w:eastAsia="仿宋"/>
          <w:sz w:val="32"/>
          <w:szCs w:val="32"/>
          <w:lang w:val="en-US" w:eastAsia="zh-CN"/>
        </w:rPr>
        <w:t>7</w:t>
      </w:r>
      <w:r>
        <w:rPr>
          <w:rFonts w:hint="eastAsia" w:ascii="仿宋" w:hAnsi="仿宋" w:eastAsia="仿宋"/>
          <w:sz w:val="32"/>
          <w:szCs w:val="32"/>
        </w:rPr>
        <w:t>月</w:t>
      </w:r>
      <w:r>
        <w:rPr>
          <w:rFonts w:hint="eastAsia" w:ascii="仿宋" w:hAnsi="仿宋" w:eastAsia="仿宋"/>
          <w:sz w:val="32"/>
          <w:szCs w:val="32"/>
          <w:lang w:val="en-US" w:eastAsia="zh-CN"/>
        </w:rPr>
        <w:t>8</w:t>
      </w:r>
      <w:r>
        <w:rPr>
          <w:rFonts w:hint="eastAsia" w:ascii="仿宋" w:hAnsi="仿宋" w:eastAsia="仿宋"/>
          <w:sz w:val="32"/>
          <w:szCs w:val="32"/>
        </w:rPr>
        <w:t>日16:00前发送至邮箱：</w:t>
      </w:r>
      <w:r>
        <w:rPr>
          <w:rFonts w:ascii="仿宋_GB2312" w:hAnsi="仿宋_GB2312" w:eastAsia="仿宋_GB2312" w:cs="仿宋_GB2312"/>
          <w:color w:val="333333"/>
          <w:sz w:val="31"/>
          <w:szCs w:val="31"/>
          <w:shd w:val="clear" w:color="auto" w:fill="FFFFFF"/>
        </w:rPr>
        <w:t>gdtsjyk@163.com</w:t>
      </w:r>
      <w:r>
        <w:rPr>
          <w:rFonts w:hint="eastAsia" w:ascii="仿宋_GB2312" w:hAnsi="仿宋_GB2312" w:eastAsia="仿宋_GB2312" w:cs="仿宋_GB2312"/>
          <w:color w:val="333333"/>
          <w:sz w:val="31"/>
          <w:szCs w:val="31"/>
          <w:shd w:val="clear" w:color="auto" w:fill="FFFFFF"/>
        </w:rPr>
        <w:t>，答辩人员</w:t>
      </w:r>
      <w:r>
        <w:rPr>
          <w:rFonts w:hint="eastAsia" w:ascii="仿宋" w:hAnsi="仿宋" w:eastAsia="仿宋"/>
          <w:sz w:val="32"/>
          <w:szCs w:val="32"/>
        </w:rPr>
        <w:t>将立项申请书纸质材料及相关支撑材料一式5份，现场交给专家。逾期不交，视为自动放弃。</w:t>
      </w:r>
      <w:r>
        <w:rPr>
          <w:rFonts w:hint="eastAsia" w:ascii="仿宋" w:hAnsi="仿宋" w:eastAsia="仿宋"/>
          <w:sz w:val="32"/>
          <w:szCs w:val="32"/>
        </w:rPr>
        <w:br w:type="textWrapping"/>
      </w:r>
      <w:r>
        <w:rPr>
          <w:rFonts w:hint="eastAsia" w:ascii="仿宋" w:hAnsi="仿宋" w:eastAsia="仿宋"/>
          <w:sz w:val="32"/>
          <w:szCs w:val="32"/>
        </w:rPr>
        <w:t xml:space="preserve">  </w:t>
      </w:r>
      <w:r>
        <w:rPr>
          <w:rFonts w:hint="eastAsia" w:ascii="黑体" w:hAnsi="黑体" w:eastAsia="黑体"/>
          <w:sz w:val="32"/>
          <w:szCs w:val="32"/>
        </w:rPr>
        <w:t xml:space="preserve">  </w:t>
      </w:r>
      <w:r>
        <w:rPr>
          <w:rFonts w:ascii="仿宋" w:hAnsi="仿宋" w:eastAsia="仿宋"/>
          <w:sz w:val="32"/>
          <w:szCs w:val="32"/>
        </w:rPr>
        <w:t>未尽事宜请</w:t>
      </w:r>
      <w:r>
        <w:rPr>
          <w:rFonts w:hint="eastAsia" w:ascii="仿宋" w:hAnsi="仿宋" w:eastAsia="仿宋"/>
          <w:sz w:val="32"/>
          <w:szCs w:val="32"/>
        </w:rPr>
        <w:t>联系通识教育科</w:t>
      </w:r>
      <w:r>
        <w:rPr>
          <w:rFonts w:ascii="仿宋" w:hAnsi="仿宋" w:eastAsia="仿宋"/>
          <w:sz w:val="32"/>
          <w:szCs w:val="32"/>
        </w:rPr>
        <w:t>。</w:t>
      </w:r>
      <w:r>
        <w:rPr>
          <w:rFonts w:hint="eastAsia" w:ascii="仿宋" w:hAnsi="仿宋" w:eastAsia="仿宋"/>
          <w:sz w:val="32"/>
          <w:szCs w:val="32"/>
        </w:rPr>
        <w:t>联系人：雷辉</w:t>
      </w:r>
      <w:r>
        <w:rPr>
          <w:rFonts w:hint="eastAsia" w:ascii="仿宋" w:hAnsi="仿宋" w:eastAsia="仿宋"/>
          <w:sz w:val="32"/>
          <w:szCs w:val="32"/>
          <w:lang w:eastAsia="zh-CN"/>
        </w:rPr>
        <w:t>，联系电话：18977341067</w:t>
      </w:r>
      <w:r>
        <w:rPr>
          <w:rFonts w:hint="eastAsia" w:ascii="仿宋" w:hAnsi="仿宋" w:eastAsia="仿宋"/>
          <w:sz w:val="32"/>
          <w:szCs w:val="32"/>
        </w:rPr>
        <w:t>。</w:t>
      </w:r>
    </w:p>
    <w:p w14:paraId="14E3B550">
      <w:pPr>
        <w:tabs>
          <w:tab w:val="left" w:pos="312"/>
        </w:tabs>
        <w:ind w:firstLine="640" w:firstLineChars="200"/>
        <w:rPr>
          <w:rFonts w:hint="eastAsia" w:ascii="仿宋" w:hAnsi="仿宋" w:eastAsia="仿宋"/>
          <w:sz w:val="32"/>
          <w:szCs w:val="32"/>
        </w:rPr>
      </w:pPr>
    </w:p>
    <w:p w14:paraId="7EAF8850">
      <w:pPr>
        <w:kinsoku w:val="0"/>
        <w:wordWrap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附件：1.</w:t>
      </w:r>
      <w:r>
        <w:rPr>
          <w:rFonts w:hint="eastAsia"/>
        </w:rPr>
        <w:t xml:space="preserve"> </w:t>
      </w:r>
      <w:r>
        <w:rPr>
          <w:rFonts w:hint="eastAsia" w:ascii="仿宋" w:hAnsi="仿宋" w:eastAsia="仿宋"/>
          <w:sz w:val="32"/>
          <w:szCs w:val="32"/>
        </w:rPr>
        <w:t>答辩名单及安排表</w:t>
      </w:r>
    </w:p>
    <w:p w14:paraId="2F0D657E">
      <w:pPr>
        <w:kinsoku w:val="0"/>
        <w:wordWrap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 xml:space="preserve">      2. 项目式课程改革答辩评分标准</w:t>
      </w:r>
    </w:p>
    <w:p w14:paraId="2FFB5323">
      <w:pPr>
        <w:kinsoku w:val="0"/>
        <w:wordWrap w:val="0"/>
        <w:spacing w:line="560" w:lineRule="exact"/>
        <w:ind w:firstLine="640" w:firstLineChars="200"/>
        <w:rPr>
          <w:rFonts w:hint="eastAsia" w:ascii="仿宋" w:hAnsi="仿宋" w:eastAsia="仿宋"/>
          <w:sz w:val="32"/>
          <w:szCs w:val="32"/>
        </w:rPr>
      </w:pPr>
    </w:p>
    <w:p w14:paraId="57B140AD">
      <w:pPr>
        <w:kinsoku w:val="0"/>
        <w:wordWrap w:val="0"/>
        <w:spacing w:line="560" w:lineRule="exact"/>
        <w:ind w:firstLine="640" w:firstLineChars="200"/>
        <w:rPr>
          <w:rFonts w:hint="eastAsia" w:ascii="仿宋" w:hAnsi="仿宋" w:eastAsia="仿宋"/>
          <w:sz w:val="32"/>
          <w:szCs w:val="32"/>
        </w:rPr>
      </w:pPr>
    </w:p>
    <w:p w14:paraId="460B1A51">
      <w:pPr>
        <w:kinsoku w:val="0"/>
        <w:wordWrap w:val="0"/>
        <w:spacing w:line="560" w:lineRule="exact"/>
        <w:ind w:firstLine="707" w:firstLineChars="221"/>
        <w:rPr>
          <w:rFonts w:hint="eastAsia" w:ascii="仿宋" w:hAnsi="仿宋" w:eastAsia="仿宋"/>
          <w:spacing w:val="-20"/>
          <w:sz w:val="32"/>
          <w:szCs w:val="32"/>
        </w:rPr>
      </w:pPr>
      <w:r>
        <w:rPr>
          <w:rFonts w:hint="eastAsia" w:ascii="仿宋" w:hAnsi="仿宋" w:eastAsia="仿宋"/>
          <w:sz w:val="32"/>
          <w:szCs w:val="32"/>
        </w:rPr>
        <w:t xml:space="preserve">      </w:t>
      </w:r>
    </w:p>
    <w:p w14:paraId="32FD7DBA">
      <w:pPr>
        <w:kinsoku w:val="0"/>
        <w:wordWrap w:val="0"/>
        <w:spacing w:line="560" w:lineRule="exact"/>
        <w:ind w:firstLine="640" w:firstLineChars="200"/>
        <w:rPr>
          <w:rFonts w:hint="eastAsia" w:ascii="仿宋" w:hAnsi="仿宋" w:eastAsia="仿宋"/>
          <w:sz w:val="32"/>
          <w:szCs w:val="32"/>
        </w:rPr>
      </w:pPr>
    </w:p>
    <w:p w14:paraId="41CD1C6A">
      <w:pPr>
        <w:kinsoku w:val="0"/>
        <w:wordWrap w:val="0"/>
        <w:spacing w:line="560" w:lineRule="exact"/>
        <w:ind w:firstLine="640" w:firstLineChars="200"/>
        <w:jc w:val="right"/>
        <w:rPr>
          <w:rFonts w:hint="eastAsia" w:ascii="仿宋" w:hAnsi="仿宋" w:eastAsia="仿宋"/>
          <w:sz w:val="32"/>
          <w:szCs w:val="32"/>
        </w:rPr>
      </w:pPr>
    </w:p>
    <w:p w14:paraId="74C7F229">
      <w:pPr>
        <w:kinsoku w:val="0"/>
        <w:spacing w:line="560" w:lineRule="exact"/>
        <w:ind w:firstLine="640" w:firstLineChars="200"/>
        <w:jc w:val="center"/>
        <w:rPr>
          <w:rFonts w:hint="eastAsia" w:ascii="仿宋" w:hAnsi="仿宋" w:eastAsia="仿宋"/>
          <w:sz w:val="32"/>
          <w:szCs w:val="32"/>
        </w:rPr>
      </w:pPr>
      <w:r>
        <w:rPr>
          <w:rFonts w:hint="eastAsia" w:ascii="仿宋" w:hAnsi="仿宋" w:eastAsia="仿宋"/>
          <w:sz w:val="32"/>
          <w:szCs w:val="32"/>
        </w:rPr>
        <w:t xml:space="preserve">                     教  务  处</w:t>
      </w:r>
    </w:p>
    <w:p w14:paraId="35A1FF10">
      <w:pPr>
        <w:tabs>
          <w:tab w:val="left" w:pos="7655"/>
        </w:tabs>
        <w:kinsoku w:val="0"/>
        <w:spacing w:line="560" w:lineRule="exact"/>
        <w:ind w:firstLine="640" w:firstLineChars="200"/>
        <w:jc w:val="center"/>
        <w:rPr>
          <w:rFonts w:hint="eastAsia"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20</w:t>
      </w:r>
      <w:r>
        <w:rPr>
          <w:rFonts w:hint="eastAsia" w:ascii="仿宋" w:hAnsi="仿宋" w:eastAsia="仿宋"/>
          <w:sz w:val="32"/>
          <w:szCs w:val="32"/>
        </w:rPr>
        <w:t>26</w:t>
      </w:r>
      <w:r>
        <w:rPr>
          <w:rFonts w:ascii="仿宋" w:hAnsi="仿宋" w:eastAsia="仿宋"/>
          <w:sz w:val="32"/>
          <w:szCs w:val="32"/>
        </w:rPr>
        <w:t>年</w:t>
      </w:r>
      <w:r>
        <w:rPr>
          <w:rFonts w:hint="eastAsia" w:ascii="仿宋" w:hAnsi="仿宋" w:eastAsia="仿宋"/>
          <w:sz w:val="32"/>
          <w:szCs w:val="32"/>
          <w:lang w:val="en-US" w:eastAsia="zh-CN"/>
        </w:rPr>
        <w:t>7</w:t>
      </w:r>
      <w:r>
        <w:rPr>
          <w:rFonts w:ascii="仿宋" w:hAnsi="仿宋" w:eastAsia="仿宋"/>
          <w:sz w:val="32"/>
          <w:szCs w:val="32"/>
        </w:rPr>
        <w:t>月</w:t>
      </w:r>
      <w:r>
        <w:rPr>
          <w:rFonts w:hint="eastAsia" w:ascii="仿宋" w:hAnsi="仿宋" w:eastAsia="仿宋"/>
          <w:sz w:val="32"/>
          <w:szCs w:val="32"/>
          <w:lang w:val="en-US" w:eastAsia="zh-CN"/>
        </w:rPr>
        <w:t>6</w:t>
      </w:r>
      <w:r>
        <w:rPr>
          <w:rFonts w:ascii="仿宋" w:hAnsi="仿宋" w:eastAsia="仿宋"/>
          <w:sz w:val="32"/>
          <w:szCs w:val="32"/>
        </w:rPr>
        <w:t>日</w:t>
      </w:r>
    </w:p>
    <w:p w14:paraId="22C2DF82">
      <w:pPr>
        <w:tabs>
          <w:tab w:val="left" w:pos="7655"/>
        </w:tabs>
        <w:kinsoku w:val="0"/>
        <w:spacing w:line="560" w:lineRule="exact"/>
        <w:ind w:firstLine="640" w:firstLineChars="200"/>
        <w:jc w:val="center"/>
        <w:rPr>
          <w:rFonts w:hint="eastAsia" w:ascii="仿宋" w:hAnsi="仿宋" w:eastAsia="仿宋"/>
          <w:sz w:val="32"/>
          <w:szCs w:val="32"/>
        </w:rPr>
      </w:pPr>
    </w:p>
    <w:p w14:paraId="290537C6">
      <w:pPr>
        <w:tabs>
          <w:tab w:val="left" w:pos="7655"/>
        </w:tabs>
        <w:kinsoku w:val="0"/>
        <w:spacing w:line="560" w:lineRule="exact"/>
        <w:ind w:firstLine="640" w:firstLineChars="200"/>
        <w:jc w:val="center"/>
        <w:rPr>
          <w:rFonts w:hint="eastAsia" w:ascii="仿宋" w:hAnsi="仿宋" w:eastAsia="仿宋"/>
          <w:sz w:val="32"/>
          <w:szCs w:val="32"/>
        </w:rPr>
      </w:pPr>
    </w:p>
    <w:p w14:paraId="48396D96">
      <w:pPr>
        <w:tabs>
          <w:tab w:val="left" w:pos="7655"/>
        </w:tabs>
        <w:kinsoku w:val="0"/>
        <w:spacing w:line="560" w:lineRule="exact"/>
        <w:ind w:firstLine="640" w:firstLineChars="200"/>
        <w:jc w:val="center"/>
        <w:rPr>
          <w:rFonts w:hint="eastAsia" w:ascii="仿宋" w:hAnsi="仿宋" w:eastAsia="仿宋"/>
          <w:sz w:val="32"/>
          <w:szCs w:val="32"/>
        </w:rPr>
      </w:pPr>
    </w:p>
    <w:p w14:paraId="5E2DF858">
      <w:pPr>
        <w:kinsoku w:val="0"/>
        <w:spacing w:line="660" w:lineRule="exact"/>
        <w:jc w:val="center"/>
        <w:rPr>
          <w:rFonts w:ascii="方正小标宋简体" w:eastAsia="方正小标宋简体"/>
          <w:sz w:val="44"/>
          <w:szCs w:val="44"/>
        </w:rPr>
        <w:sectPr>
          <w:pgSz w:w="11906" w:h="16838"/>
          <w:pgMar w:top="1440" w:right="1800" w:bottom="1440" w:left="1800" w:header="851" w:footer="992" w:gutter="0"/>
          <w:cols w:space="425" w:num="1"/>
          <w:docGrid w:type="lines" w:linePitch="312" w:charSpace="0"/>
        </w:sectPr>
      </w:pPr>
    </w:p>
    <w:p w14:paraId="249D348B">
      <w:pPr>
        <w:kinsoku w:val="0"/>
        <w:spacing w:line="660" w:lineRule="exact"/>
        <w:rPr>
          <w:rFonts w:ascii="方正小标宋简体" w:eastAsia="方正小标宋简体"/>
          <w:sz w:val="30"/>
          <w:szCs w:val="30"/>
        </w:rPr>
      </w:pPr>
      <w:r>
        <w:rPr>
          <w:rFonts w:hint="eastAsia" w:ascii="方正小标宋简体" w:eastAsia="方正小标宋简体"/>
          <w:sz w:val="30"/>
          <w:szCs w:val="30"/>
        </w:rPr>
        <w:t>附件1：</w:t>
      </w:r>
    </w:p>
    <w:p w14:paraId="3DF5738A">
      <w:pPr>
        <w:kinsoku w:val="0"/>
        <w:spacing w:line="660" w:lineRule="exact"/>
        <w:jc w:val="center"/>
        <w:rPr>
          <w:rFonts w:ascii="方正小标宋简体" w:eastAsia="方正小标宋简体"/>
          <w:b/>
          <w:bCs/>
          <w:sz w:val="40"/>
          <w:szCs w:val="40"/>
        </w:rPr>
      </w:pPr>
      <w:r>
        <w:rPr>
          <w:rFonts w:hint="eastAsia" w:ascii="方正小标宋简体" w:hAnsi="仿宋" w:eastAsia="方正小标宋简体"/>
          <w:b/>
          <w:bCs/>
          <w:sz w:val="40"/>
          <w:szCs w:val="40"/>
        </w:rPr>
        <w:t>答辩名单及安排表</w:t>
      </w:r>
    </w:p>
    <w:tbl>
      <w:tblPr>
        <w:tblStyle w:val="5"/>
        <w:tblW w:w="146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2651"/>
        <w:gridCol w:w="4560"/>
        <w:gridCol w:w="2788"/>
        <w:gridCol w:w="2439"/>
        <w:gridCol w:w="1509"/>
      </w:tblGrid>
      <w:tr w14:paraId="42AF3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5" w:hRule="atLeast"/>
        </w:trPr>
        <w:tc>
          <w:tcPr>
            <w:tcW w:w="146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C56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项目式课程/群答辩安排表（7月</w:t>
            </w:r>
            <w:r>
              <w:rPr>
                <w:rFonts w:hint="eastAsia" w:ascii="宋体" w:hAnsi="宋体" w:cs="宋体"/>
                <w:b/>
                <w:bCs/>
                <w:i w:val="0"/>
                <w:iCs w:val="0"/>
                <w:color w:val="000000"/>
                <w:kern w:val="0"/>
                <w:sz w:val="32"/>
                <w:szCs w:val="32"/>
                <w:u w:val="none"/>
                <w:lang w:val="en-US" w:eastAsia="zh-CN" w:bidi="ar"/>
              </w:rPr>
              <w:t>9</w:t>
            </w:r>
            <w:bookmarkStart w:id="0" w:name="_GoBack"/>
            <w:bookmarkEnd w:id="0"/>
            <w:r>
              <w:rPr>
                <w:rFonts w:hint="eastAsia" w:ascii="宋体" w:hAnsi="宋体" w:eastAsia="宋体" w:cs="宋体"/>
                <w:b/>
                <w:bCs/>
                <w:i w:val="0"/>
                <w:iCs w:val="0"/>
                <w:color w:val="000000"/>
                <w:kern w:val="0"/>
                <w:sz w:val="32"/>
                <w:szCs w:val="32"/>
                <w:u w:val="none"/>
                <w:lang w:val="en-US" w:eastAsia="zh-CN" w:bidi="ar"/>
              </w:rPr>
              <w:t>日）</w:t>
            </w:r>
          </w:p>
        </w:tc>
      </w:tr>
      <w:tr w14:paraId="62741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C48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7"/>
                <w:lang w:val="en-US" w:eastAsia="zh-CN" w:bidi="ar"/>
              </w:rPr>
              <w:t xml:space="preserve">                                                   </w:t>
            </w:r>
            <w:r>
              <w:rPr>
                <w:rFonts w:hint="eastAsia" w:ascii="宋体" w:hAnsi="宋体" w:eastAsia="宋体" w:cs="宋体"/>
                <w:b/>
                <w:bCs/>
                <w:i w:val="0"/>
                <w:iCs w:val="0"/>
                <w:color w:val="000000"/>
                <w:kern w:val="0"/>
                <w:sz w:val="28"/>
                <w:szCs w:val="28"/>
                <w:u w:val="none"/>
                <w:lang w:val="en-US" w:eastAsia="zh-CN" w:bidi="ar"/>
              </w:rPr>
              <w:t>答辩地点：花江校区图书馆3楼报告厅</w:t>
            </w:r>
          </w:p>
        </w:tc>
      </w:tr>
      <w:tr w14:paraId="6036E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81B3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E589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731E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课程/项目名称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CB5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589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CA1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答辩时间</w:t>
            </w:r>
          </w:p>
        </w:tc>
      </w:tr>
      <w:tr w14:paraId="0BC01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954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CC29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机电工程学院</w:t>
            </w:r>
          </w:p>
        </w:tc>
        <w:tc>
          <w:tcPr>
            <w:tcW w:w="4665" w:type="dxa"/>
            <w:tcBorders>
              <w:top w:val="nil"/>
              <w:left w:val="single" w:color="000000" w:sz="4" w:space="0"/>
              <w:bottom w:val="single" w:color="000000" w:sz="4" w:space="0"/>
              <w:right w:val="single" w:color="000000" w:sz="4" w:space="0"/>
            </w:tcBorders>
            <w:shd w:val="clear" w:color="auto" w:fill="auto"/>
            <w:vAlign w:val="center"/>
          </w:tcPr>
          <w:p w14:paraId="3DA232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智能微电网运行监测控制系统设计与实现</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E786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电气工程及其自动化</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5B00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刘阳升/副教授</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7F9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8:30-8:45</w:t>
            </w:r>
          </w:p>
        </w:tc>
      </w:tr>
      <w:tr w14:paraId="00DF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1A1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1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电子工程与自动化学院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3F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进阶式测控系统与仪器“启航·领航”项目式教学改革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0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测控技术与仪器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29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黄新/正高级实验师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A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8:45-9:00</w:t>
            </w:r>
          </w:p>
        </w:tc>
      </w:tr>
      <w:tr w14:paraId="7CD15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235D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0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生命与环境科学学院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8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基于人体多参数监护仪的医学电子仪器项目式课程群建设  </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41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生物医学工程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C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李华/教授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2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9:00-9:15</w:t>
            </w:r>
          </w:p>
        </w:tc>
      </w:tr>
      <w:tr w14:paraId="52AEB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C914A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E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建筑与交通工程学院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43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数据驱动下城市区域交通系统智慧化设计与协同管控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4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6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周旦/教授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D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9:15-9:30</w:t>
            </w:r>
          </w:p>
        </w:tc>
      </w:tr>
      <w:tr w14:paraId="1021C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E0F2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6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人工智能学院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2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端侧AI项目式课程群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8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人工智能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8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张伟/讲师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7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9:30-9:45</w:t>
            </w:r>
          </w:p>
        </w:tc>
      </w:tr>
      <w:tr w14:paraId="015E1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D34CF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B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光电工程学院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4F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现代光学工程综合设计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3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光电信息科学与工程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C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尹君/副教授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6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9:45-10:00</w:t>
            </w:r>
          </w:p>
        </w:tc>
      </w:tr>
      <w:tr w14:paraId="05EF0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9C8C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9B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机电工程学院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70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半导体后端智造装备驱动的进阶项目式课程群建设探索与实践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1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智能制造工程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8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景建平/教授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A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10:00-10:15</w:t>
            </w:r>
          </w:p>
        </w:tc>
      </w:tr>
      <w:tr w14:paraId="2D847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BB914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E1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计算机与信息安全学院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3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端边云协同智能物联网系统开发实践课程群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D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物联网工程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E5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林科/副研究员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07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10:15-10:30</w:t>
            </w:r>
          </w:p>
        </w:tc>
      </w:tr>
      <w:tr w14:paraId="74900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80F9F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B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电子工程与自动化学院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7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智能装备与系统工程实践课程群建设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AE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智能装备与系统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D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肖皓霖/副教授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3B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10:30-10:45</w:t>
            </w:r>
          </w:p>
        </w:tc>
      </w:tr>
      <w:tr w14:paraId="0B0C1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90B9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A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生命与环境科学学院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7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生物医学工程专业新生项目体验课程群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D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生物医学工程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A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陈洪波/教授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9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10:45-11:00</w:t>
            </w:r>
          </w:p>
        </w:tc>
      </w:tr>
      <w:tr w14:paraId="1AB12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EC3FA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F6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建筑与交通工程学院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42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四年贯通、项目驱动、能力递进：面向电子工业的建环专业项目式课程群建设与实践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3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建筑环境与能源应用工程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C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朱辉/教授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8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11:00-11:15</w:t>
            </w:r>
          </w:p>
        </w:tc>
      </w:tr>
      <w:tr w14:paraId="0C209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50A3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1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人工智能学院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F8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基于树莓派的实验室边缘智能检测系</w:t>
            </w:r>
            <w:r>
              <w:rPr>
                <w:rFonts w:ascii="WPSEMBED1" w:hAnsi="WPSEMBED1" w:eastAsia="WPSEMBED1" w:cs="WPSEMBED1"/>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统设计</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13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人工智能、机器人工程、数据科学与大数据技术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3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孙绍华/其它副高级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42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11:15-11:30</w:t>
            </w:r>
          </w:p>
        </w:tc>
      </w:tr>
      <w:tr w14:paraId="5E06D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57369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D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光电工程学院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4E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智慧安防场景智能视觉感知与异常行为检测系统设计与实现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2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智能视觉工程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3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彭智勇/正高级实验师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9A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11:30-11:45</w:t>
            </w:r>
          </w:p>
        </w:tc>
      </w:tr>
      <w:tr w14:paraId="359AA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8A40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85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信息与通信学院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E1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《SoC原理与设计实践》跨课程融合项式课程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9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微电子科学与工程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3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陈永和/教授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63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11:45-12:00</w:t>
            </w:r>
          </w:p>
        </w:tc>
      </w:tr>
      <w:tr w14:paraId="1725E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0A2E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8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计算机与信息安全学院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44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智能化网络攻防与安全运维进阶项目式实践课程群</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6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网络空间安全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33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陶晓玲/教授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B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14:00-14:15</w:t>
            </w:r>
          </w:p>
        </w:tc>
      </w:tr>
      <w:tr w14:paraId="2EABC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14A35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C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电子工程与自动化学院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3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云边协同的智能感知系统设计与实现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18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智能感知工程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45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苏海涛/副教授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EA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14:15-14:30</w:t>
            </w:r>
          </w:p>
        </w:tc>
      </w:tr>
      <w:tr w14:paraId="64139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987F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595" w:type="dxa"/>
            <w:tcBorders>
              <w:top w:val="single" w:color="000000" w:sz="4" w:space="0"/>
              <w:left w:val="single" w:color="000000" w:sz="4" w:space="0"/>
              <w:bottom w:val="nil"/>
              <w:right w:val="single" w:color="000000" w:sz="4" w:space="0"/>
            </w:tcBorders>
            <w:shd w:val="clear" w:color="auto" w:fill="auto"/>
            <w:vAlign w:val="center"/>
          </w:tcPr>
          <w:p w14:paraId="32F3C8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材料科学与工程学院</w:t>
            </w:r>
          </w:p>
        </w:tc>
        <w:tc>
          <w:tcPr>
            <w:tcW w:w="4665" w:type="dxa"/>
            <w:tcBorders>
              <w:top w:val="single" w:color="000000" w:sz="4" w:space="0"/>
              <w:left w:val="single" w:color="000000" w:sz="4" w:space="0"/>
              <w:bottom w:val="nil"/>
              <w:right w:val="single" w:color="000000" w:sz="4" w:space="0"/>
            </w:tcBorders>
            <w:shd w:val="clear" w:color="auto" w:fill="auto"/>
            <w:vAlign w:val="center"/>
          </w:tcPr>
          <w:p w14:paraId="613F79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仿真驱动的机械产品设计与制造课程群</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0560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材料成型及控制工程</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8D9E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黎清宁/教授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6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14:30-14:45</w:t>
            </w:r>
          </w:p>
        </w:tc>
      </w:tr>
      <w:tr w14:paraId="2820F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903C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D0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25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财务大数据项目设计与应用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B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会计学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65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谢海娟/教授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9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14:45-15:00</w:t>
            </w:r>
          </w:p>
        </w:tc>
      </w:tr>
      <w:tr w14:paraId="041EE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BF730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E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外国语学院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B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“英语+跨境电商”进阶项目式课程群建设与实践</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F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英 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0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廖桂宇/副教授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1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15:00-15:15</w:t>
            </w:r>
          </w:p>
        </w:tc>
      </w:tr>
      <w:tr w14:paraId="461A3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588E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FE5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法学院/知识产权学院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6D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民事法律诊所项目式课程群建设</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F3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法学/知识产权/国际经贸规则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F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王雯雯/副教授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4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15:15-15:30</w:t>
            </w:r>
          </w:p>
        </w:tc>
      </w:tr>
      <w:tr w14:paraId="7BCB2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025D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6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艺术与设计学院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05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AI+数媒设计项目式课程群建设</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0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数字媒体技术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0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史卓/教授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5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15:30-15:45</w:t>
            </w:r>
          </w:p>
        </w:tc>
      </w:tr>
      <w:tr w14:paraId="62E6E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0F5D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0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B8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工业工程复杂工程问题解决能力培养的项目式课程群建设与实践</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7F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D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肖吉军/教授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2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15:45-16:00</w:t>
            </w:r>
          </w:p>
        </w:tc>
      </w:tr>
      <w:tr w14:paraId="1D625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5AEC3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F2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外国语学院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21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三层进阶·知行赋能：国际中文教育海外育人培养项目</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BA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汉语国际教育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F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周毅敏/副教授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B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16:00-16:15</w:t>
            </w:r>
          </w:p>
        </w:tc>
      </w:tr>
      <w:tr w14:paraId="52614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433C1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C4B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法学院/知识产权学院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0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判解研究（刑事法学）项目式课程建设</w:t>
            </w:r>
          </w:p>
        </w:tc>
        <w:tc>
          <w:tcPr>
            <w:tcW w:w="2595" w:type="dxa"/>
            <w:tcBorders>
              <w:top w:val="nil"/>
              <w:left w:val="nil"/>
              <w:bottom w:val="nil"/>
              <w:right w:val="nil"/>
            </w:tcBorders>
            <w:shd w:val="clear" w:color="auto" w:fill="auto"/>
            <w:vAlign w:val="center"/>
          </w:tcPr>
          <w:p w14:paraId="7038D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法学、知识产权、国际经贸规则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1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农海东/讲师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4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16:15-16:30</w:t>
            </w:r>
          </w:p>
        </w:tc>
      </w:tr>
      <w:tr w14:paraId="6D7CB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C06C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60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88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AI赋能商务智能项目式课程群建设与实践</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7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信息管理与信息系统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D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刘平山/教授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7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16:30-16:45</w:t>
            </w:r>
          </w:p>
        </w:tc>
      </w:tr>
      <w:tr w14:paraId="06808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7DB1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8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数学与计算科学学院</w:t>
            </w:r>
          </w:p>
        </w:tc>
        <w:tc>
          <w:tcPr>
            <w:tcW w:w="4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3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《数学模型》课程项目式教学体系重构与实践</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B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信息与计算科学、应用统计学、 数学与应用数学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E5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毛睿/讲师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C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16:45-17:00</w:t>
            </w:r>
          </w:p>
        </w:tc>
      </w:tr>
    </w:tbl>
    <w:p w14:paraId="7699A7CC">
      <w:pPr>
        <w:kinsoku w:val="0"/>
        <w:spacing w:line="240" w:lineRule="auto"/>
        <w:rPr>
          <w:rFonts w:ascii="方正小标宋简体" w:eastAsia="方正小标宋简体"/>
          <w:sz w:val="32"/>
          <w:szCs w:val="32"/>
        </w:rPr>
        <w:sectPr>
          <w:pgSz w:w="16838" w:h="11906" w:orient="landscape"/>
          <w:pgMar w:top="1800" w:right="1440" w:bottom="1800" w:left="1440" w:header="851" w:footer="992" w:gutter="0"/>
          <w:cols w:space="425" w:num="1"/>
          <w:docGrid w:type="lines" w:linePitch="312" w:charSpace="0"/>
        </w:sectPr>
      </w:pPr>
    </w:p>
    <w:p w14:paraId="69F9E79E">
      <w:pPr>
        <w:jc w:val="left"/>
        <w:rPr>
          <w:rFonts w:hint="eastAsia" w:ascii="方正小标宋简体" w:eastAsia="方正小标宋简体" w:hAnsiTheme="minorEastAsia"/>
          <w:sz w:val="30"/>
          <w:szCs w:val="30"/>
        </w:rPr>
      </w:pPr>
      <w:r>
        <w:rPr>
          <w:rFonts w:hint="eastAsia" w:ascii="方正小标宋简体" w:eastAsia="方正小标宋简体" w:hAnsiTheme="minorEastAsia"/>
          <w:sz w:val="30"/>
          <w:szCs w:val="30"/>
        </w:rPr>
        <w:t>附件2：</w:t>
      </w:r>
    </w:p>
    <w:p w14:paraId="33378964">
      <w:pPr>
        <w:jc w:val="center"/>
        <w:rPr>
          <w:rFonts w:hint="eastAsia" w:ascii="方正小标宋简体" w:eastAsia="方正小标宋简体" w:hAnsiTheme="minorEastAsia"/>
          <w:sz w:val="36"/>
          <w:szCs w:val="36"/>
        </w:rPr>
      </w:pPr>
      <w:r>
        <w:rPr>
          <w:rFonts w:hint="eastAsia" w:ascii="方正小标宋简体" w:eastAsia="方正小标宋简体" w:hAnsiTheme="minorEastAsia"/>
          <w:sz w:val="36"/>
          <w:szCs w:val="36"/>
        </w:rPr>
        <w:t>项目式课程改革答辩评</w:t>
      </w:r>
      <w:r>
        <w:rPr>
          <w:rFonts w:hint="eastAsia" w:ascii="方正小标宋简体" w:eastAsia="方正小标宋简体" w:hAnsiTheme="minorEastAsia"/>
          <w:sz w:val="36"/>
          <w:szCs w:val="36"/>
          <w:lang w:val="en-US" w:eastAsia="zh-CN"/>
        </w:rPr>
        <w:t>分</w:t>
      </w:r>
      <w:r>
        <w:rPr>
          <w:rFonts w:hint="eastAsia" w:ascii="方正小标宋简体" w:eastAsia="方正小标宋简体" w:hAnsiTheme="minorEastAsia"/>
          <w:sz w:val="36"/>
          <w:szCs w:val="36"/>
        </w:rPr>
        <w:t>标准</w:t>
      </w:r>
    </w:p>
    <w:tbl>
      <w:tblPr>
        <w:tblStyle w:val="5"/>
        <w:tblW w:w="56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159"/>
        <w:gridCol w:w="5241"/>
        <w:gridCol w:w="1172"/>
        <w:gridCol w:w="1245"/>
      </w:tblGrid>
      <w:tr w14:paraId="48D6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blHeader/>
          <w:jc w:val="center"/>
        </w:trPr>
        <w:tc>
          <w:tcPr>
            <w:tcW w:w="382" w:type="pct"/>
            <w:tcBorders>
              <w:top w:val="single" w:color="auto" w:sz="4" w:space="0"/>
              <w:left w:val="single" w:color="auto" w:sz="4" w:space="0"/>
              <w:bottom w:val="single" w:color="auto" w:sz="4" w:space="0"/>
              <w:right w:val="single" w:color="auto" w:sz="4" w:space="0"/>
            </w:tcBorders>
            <w:vAlign w:val="center"/>
          </w:tcPr>
          <w:p w14:paraId="749E97DE">
            <w:pPr>
              <w:snapToGrid w:val="0"/>
              <w:jc w:val="center"/>
              <w:rPr>
                <w:rFonts w:hint="eastAsia" w:ascii="宋体" w:hAnsi="宋体"/>
                <w:b/>
                <w:sz w:val="24"/>
                <w:szCs w:val="24"/>
              </w:rPr>
            </w:pPr>
            <w:r>
              <w:rPr>
                <w:rFonts w:hint="eastAsia" w:ascii="宋体" w:hAnsi="宋体"/>
                <w:b/>
                <w:sz w:val="24"/>
                <w:szCs w:val="24"/>
              </w:rPr>
              <w:t>序号</w:t>
            </w:r>
          </w:p>
        </w:tc>
        <w:tc>
          <w:tcPr>
            <w:tcW w:w="607" w:type="pct"/>
            <w:tcBorders>
              <w:top w:val="single" w:color="auto" w:sz="4" w:space="0"/>
              <w:left w:val="single" w:color="auto" w:sz="4" w:space="0"/>
              <w:bottom w:val="single" w:color="auto" w:sz="4" w:space="0"/>
              <w:right w:val="single" w:color="auto" w:sz="4" w:space="0"/>
            </w:tcBorders>
            <w:noWrap/>
            <w:vAlign w:val="center"/>
          </w:tcPr>
          <w:p w14:paraId="033517FD">
            <w:pPr>
              <w:snapToGrid w:val="0"/>
              <w:jc w:val="center"/>
              <w:rPr>
                <w:rFonts w:hint="eastAsia" w:ascii="宋体" w:hAnsi="宋体"/>
                <w:b/>
                <w:sz w:val="24"/>
                <w:szCs w:val="24"/>
              </w:rPr>
            </w:pPr>
            <w:r>
              <w:rPr>
                <w:rFonts w:hint="eastAsia" w:ascii="宋体" w:hAnsi="宋体"/>
                <w:b/>
                <w:sz w:val="24"/>
                <w:szCs w:val="24"/>
              </w:rPr>
              <w:t>建设指标</w:t>
            </w:r>
          </w:p>
        </w:tc>
        <w:tc>
          <w:tcPr>
            <w:tcW w:w="2745" w:type="pct"/>
            <w:tcBorders>
              <w:top w:val="single" w:color="auto" w:sz="4" w:space="0"/>
              <w:left w:val="single" w:color="auto" w:sz="4" w:space="0"/>
              <w:bottom w:val="single" w:color="auto" w:sz="4" w:space="0"/>
              <w:right w:val="single" w:color="auto" w:sz="4" w:space="0"/>
            </w:tcBorders>
            <w:noWrap/>
            <w:vAlign w:val="center"/>
          </w:tcPr>
          <w:p w14:paraId="26E5ED99">
            <w:pPr>
              <w:snapToGrid w:val="0"/>
              <w:jc w:val="center"/>
              <w:rPr>
                <w:rFonts w:hint="eastAsia" w:ascii="宋体" w:hAnsi="宋体"/>
                <w:b/>
                <w:sz w:val="24"/>
                <w:szCs w:val="24"/>
              </w:rPr>
            </w:pPr>
            <w:r>
              <w:rPr>
                <w:rFonts w:hint="eastAsia" w:ascii="宋体" w:hAnsi="宋体"/>
                <w:b/>
                <w:sz w:val="24"/>
                <w:szCs w:val="24"/>
              </w:rPr>
              <w:t>观测点</w:t>
            </w:r>
          </w:p>
        </w:tc>
        <w:tc>
          <w:tcPr>
            <w:tcW w:w="614" w:type="pct"/>
            <w:tcBorders>
              <w:top w:val="single" w:color="auto" w:sz="4" w:space="0"/>
              <w:left w:val="single" w:color="auto" w:sz="4" w:space="0"/>
              <w:bottom w:val="single" w:color="auto" w:sz="4" w:space="0"/>
              <w:right w:val="single" w:color="auto" w:sz="4" w:space="0"/>
            </w:tcBorders>
            <w:vAlign w:val="center"/>
          </w:tcPr>
          <w:p w14:paraId="5DD8D243">
            <w:pPr>
              <w:snapToGrid w:val="0"/>
              <w:jc w:val="center"/>
              <w:rPr>
                <w:rFonts w:hint="eastAsia" w:ascii="宋体" w:hAnsi="宋体"/>
                <w:b/>
                <w:sz w:val="24"/>
                <w:szCs w:val="24"/>
              </w:rPr>
            </w:pPr>
            <w:r>
              <w:rPr>
                <w:rFonts w:hint="eastAsia" w:ascii="宋体" w:hAnsi="宋体"/>
                <w:b/>
                <w:sz w:val="24"/>
                <w:szCs w:val="24"/>
              </w:rPr>
              <w:t>分数</w:t>
            </w:r>
          </w:p>
        </w:tc>
        <w:tc>
          <w:tcPr>
            <w:tcW w:w="652" w:type="pct"/>
            <w:tcBorders>
              <w:top w:val="single" w:color="auto" w:sz="4" w:space="0"/>
              <w:left w:val="single" w:color="auto" w:sz="4" w:space="0"/>
              <w:bottom w:val="single" w:color="auto" w:sz="4" w:space="0"/>
              <w:right w:val="single" w:color="auto" w:sz="4" w:space="0"/>
            </w:tcBorders>
            <w:vAlign w:val="center"/>
          </w:tcPr>
          <w:p w14:paraId="6207305A">
            <w:pPr>
              <w:snapToGrid w:val="0"/>
              <w:jc w:val="center"/>
              <w:rPr>
                <w:rFonts w:hint="eastAsia" w:ascii="宋体" w:hAnsi="宋体"/>
                <w:b/>
                <w:sz w:val="24"/>
                <w:szCs w:val="24"/>
              </w:rPr>
            </w:pPr>
            <w:r>
              <w:rPr>
                <w:rFonts w:hint="eastAsia" w:ascii="宋体" w:hAnsi="宋体"/>
                <w:b/>
                <w:sz w:val="24"/>
                <w:szCs w:val="24"/>
              </w:rPr>
              <w:t>得分</w:t>
            </w:r>
          </w:p>
        </w:tc>
      </w:tr>
      <w:tr w14:paraId="7E3D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1" w:hRule="atLeast"/>
          <w:jc w:val="center"/>
        </w:trPr>
        <w:tc>
          <w:tcPr>
            <w:tcW w:w="382" w:type="pct"/>
            <w:tcBorders>
              <w:left w:val="single" w:color="auto" w:sz="4" w:space="0"/>
              <w:bottom w:val="single" w:color="auto" w:sz="4" w:space="0"/>
              <w:right w:val="single" w:color="auto" w:sz="4" w:space="0"/>
            </w:tcBorders>
            <w:vAlign w:val="center"/>
          </w:tcPr>
          <w:p w14:paraId="72DBC3D1">
            <w:pPr>
              <w:snapToGrid w:val="0"/>
              <w:jc w:val="center"/>
              <w:rPr>
                <w:rFonts w:hint="eastAsia" w:ascii="宋体" w:hAnsi="宋体"/>
                <w:sz w:val="24"/>
                <w:szCs w:val="24"/>
              </w:rPr>
            </w:pPr>
            <w:r>
              <w:rPr>
                <w:rFonts w:hint="eastAsia" w:ascii="宋体" w:hAnsi="宋体"/>
                <w:sz w:val="24"/>
                <w:szCs w:val="24"/>
              </w:rPr>
              <w:t>1</w:t>
            </w:r>
          </w:p>
        </w:tc>
        <w:tc>
          <w:tcPr>
            <w:tcW w:w="607" w:type="pct"/>
            <w:tcBorders>
              <w:left w:val="single" w:color="auto" w:sz="4" w:space="0"/>
              <w:bottom w:val="single" w:color="auto" w:sz="4" w:space="0"/>
              <w:right w:val="single" w:color="auto" w:sz="4" w:space="0"/>
            </w:tcBorders>
            <w:noWrap/>
            <w:vAlign w:val="center"/>
          </w:tcPr>
          <w:p w14:paraId="78BDEA06">
            <w:pPr>
              <w:snapToGrid w:val="0"/>
              <w:jc w:val="center"/>
              <w:rPr>
                <w:rFonts w:hint="eastAsia" w:ascii="宋体" w:hAnsi="宋体"/>
                <w:sz w:val="28"/>
                <w:szCs w:val="28"/>
              </w:rPr>
            </w:pPr>
            <w:r>
              <w:rPr>
                <w:rFonts w:hint="eastAsia" w:ascii="宋体" w:hAnsi="宋体"/>
                <w:sz w:val="28"/>
                <w:szCs w:val="28"/>
              </w:rPr>
              <w:t>教学设计</w:t>
            </w:r>
          </w:p>
        </w:tc>
        <w:tc>
          <w:tcPr>
            <w:tcW w:w="2745" w:type="pct"/>
            <w:tcBorders>
              <w:top w:val="single" w:color="auto" w:sz="4" w:space="0"/>
              <w:left w:val="single" w:color="auto" w:sz="4" w:space="0"/>
              <w:bottom w:val="single" w:color="auto" w:sz="4" w:space="0"/>
              <w:right w:val="single" w:color="auto" w:sz="4" w:space="0"/>
            </w:tcBorders>
            <w:noWrap/>
            <w:vAlign w:val="center"/>
          </w:tcPr>
          <w:p w14:paraId="28C7F1D3">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宋体" w:hAnsi="宋体"/>
                <w:sz w:val="24"/>
                <w:szCs w:val="24"/>
              </w:rPr>
            </w:pPr>
            <w:r>
              <w:rPr>
                <w:rFonts w:hint="eastAsia" w:ascii="宋体" w:hAnsi="宋体"/>
                <w:sz w:val="28"/>
                <w:szCs w:val="28"/>
              </w:rPr>
              <w:t>各专业结合实际，采用并列、贯穿、递进等形式开展项目式教学，打破课程群与模块壁垒。重构知识体系，融入新技术、新工艺及企业案例。构建“一干多支”项目体系（课程群干线项目+课程支线项目），确保过程、结果、成本可控，成果可评。</w:t>
            </w:r>
          </w:p>
        </w:tc>
        <w:tc>
          <w:tcPr>
            <w:tcW w:w="614" w:type="pct"/>
            <w:tcBorders>
              <w:top w:val="single" w:color="auto" w:sz="4" w:space="0"/>
              <w:left w:val="single" w:color="auto" w:sz="4" w:space="0"/>
              <w:bottom w:val="single" w:color="auto" w:sz="4" w:space="0"/>
              <w:right w:val="single" w:color="auto" w:sz="4" w:space="0"/>
            </w:tcBorders>
            <w:vAlign w:val="center"/>
          </w:tcPr>
          <w:p w14:paraId="1994F90E">
            <w:pPr>
              <w:snapToGrid w:val="0"/>
              <w:jc w:val="center"/>
              <w:rPr>
                <w:rFonts w:hint="eastAsia" w:ascii="宋体" w:hAnsi="宋体"/>
                <w:sz w:val="28"/>
                <w:szCs w:val="28"/>
              </w:rPr>
            </w:pPr>
            <w:r>
              <w:rPr>
                <w:rFonts w:hint="eastAsia" w:ascii="宋体" w:hAnsi="宋体"/>
                <w:sz w:val="28"/>
                <w:szCs w:val="28"/>
              </w:rPr>
              <w:t>30</w:t>
            </w:r>
          </w:p>
        </w:tc>
        <w:tc>
          <w:tcPr>
            <w:tcW w:w="652" w:type="pct"/>
            <w:tcBorders>
              <w:top w:val="single" w:color="auto" w:sz="4" w:space="0"/>
              <w:left w:val="single" w:color="auto" w:sz="4" w:space="0"/>
              <w:bottom w:val="single" w:color="auto" w:sz="4" w:space="0"/>
              <w:right w:val="single" w:color="auto" w:sz="4" w:space="0"/>
            </w:tcBorders>
            <w:vAlign w:val="center"/>
          </w:tcPr>
          <w:p w14:paraId="032359EB">
            <w:pPr>
              <w:snapToGrid w:val="0"/>
              <w:jc w:val="center"/>
              <w:rPr>
                <w:rFonts w:hint="eastAsia" w:ascii="宋体" w:hAnsi="宋体"/>
                <w:sz w:val="28"/>
                <w:szCs w:val="28"/>
              </w:rPr>
            </w:pPr>
          </w:p>
        </w:tc>
      </w:tr>
      <w:tr w14:paraId="1979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jc w:val="center"/>
        </w:trPr>
        <w:tc>
          <w:tcPr>
            <w:tcW w:w="382" w:type="pct"/>
            <w:tcBorders>
              <w:top w:val="single" w:color="auto" w:sz="4" w:space="0"/>
              <w:left w:val="single" w:color="auto" w:sz="4" w:space="0"/>
              <w:bottom w:val="single" w:color="auto" w:sz="4" w:space="0"/>
              <w:right w:val="single" w:color="auto" w:sz="4" w:space="0"/>
            </w:tcBorders>
            <w:vAlign w:val="center"/>
          </w:tcPr>
          <w:p w14:paraId="0DBEC568">
            <w:pPr>
              <w:snapToGrid w:val="0"/>
              <w:jc w:val="center"/>
              <w:rPr>
                <w:rFonts w:hint="eastAsia" w:ascii="宋体" w:hAnsi="宋体"/>
                <w:sz w:val="24"/>
                <w:szCs w:val="24"/>
              </w:rPr>
            </w:pPr>
            <w:r>
              <w:rPr>
                <w:rFonts w:hint="eastAsia" w:ascii="宋体" w:hAnsi="宋体"/>
                <w:sz w:val="24"/>
                <w:szCs w:val="24"/>
              </w:rPr>
              <w:t>2</w:t>
            </w:r>
          </w:p>
        </w:tc>
        <w:tc>
          <w:tcPr>
            <w:tcW w:w="607" w:type="pct"/>
            <w:tcBorders>
              <w:top w:val="single" w:color="auto" w:sz="4" w:space="0"/>
              <w:left w:val="single" w:color="auto" w:sz="4" w:space="0"/>
              <w:bottom w:val="single" w:color="auto" w:sz="4" w:space="0"/>
              <w:right w:val="single" w:color="auto" w:sz="4" w:space="0"/>
            </w:tcBorders>
            <w:noWrap/>
            <w:vAlign w:val="center"/>
          </w:tcPr>
          <w:p w14:paraId="6AA7EC63">
            <w:pPr>
              <w:snapToGrid w:val="0"/>
              <w:jc w:val="center"/>
              <w:rPr>
                <w:rFonts w:hint="eastAsia" w:ascii="宋体" w:hAnsi="宋体"/>
                <w:sz w:val="28"/>
                <w:szCs w:val="28"/>
              </w:rPr>
            </w:pPr>
            <w:r>
              <w:rPr>
                <w:rFonts w:hint="eastAsia" w:ascii="宋体" w:hAnsi="宋体"/>
                <w:sz w:val="28"/>
                <w:szCs w:val="28"/>
              </w:rPr>
              <w:t>教学过程</w:t>
            </w:r>
          </w:p>
        </w:tc>
        <w:tc>
          <w:tcPr>
            <w:tcW w:w="2745" w:type="pct"/>
            <w:tcBorders>
              <w:top w:val="single" w:color="auto" w:sz="4" w:space="0"/>
              <w:left w:val="single" w:color="auto" w:sz="4" w:space="0"/>
              <w:bottom w:val="single" w:color="auto" w:sz="4" w:space="0"/>
              <w:right w:val="single" w:color="auto" w:sz="4" w:space="0"/>
            </w:tcBorders>
            <w:noWrap/>
            <w:vAlign w:val="center"/>
          </w:tcPr>
          <w:p w14:paraId="4724885A">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宋体" w:hAnsi="宋体"/>
                <w:sz w:val="24"/>
                <w:szCs w:val="24"/>
              </w:rPr>
            </w:pPr>
            <w:r>
              <w:rPr>
                <w:rFonts w:hint="eastAsia" w:ascii="宋体" w:hAnsi="宋体"/>
                <w:sz w:val="28"/>
                <w:szCs w:val="28"/>
              </w:rPr>
              <w:t>坚持“学为中心”，教师转为引导者与资源提供者，提供渐变式脚手架，支持学生完成“问题定义→方案设计→实施迭代”。围绕项目式教学，优化组织形式、流程、课时、互动、管理与AI赋能。</w:t>
            </w:r>
          </w:p>
        </w:tc>
        <w:tc>
          <w:tcPr>
            <w:tcW w:w="614" w:type="pct"/>
            <w:tcBorders>
              <w:top w:val="single" w:color="auto" w:sz="4" w:space="0"/>
              <w:left w:val="single" w:color="auto" w:sz="4" w:space="0"/>
              <w:bottom w:val="single" w:color="auto" w:sz="4" w:space="0"/>
              <w:right w:val="single" w:color="auto" w:sz="4" w:space="0"/>
            </w:tcBorders>
            <w:vAlign w:val="center"/>
          </w:tcPr>
          <w:p w14:paraId="5F8FBE3C">
            <w:pPr>
              <w:snapToGrid w:val="0"/>
              <w:jc w:val="center"/>
              <w:rPr>
                <w:rFonts w:hint="eastAsia" w:ascii="宋体" w:hAnsi="宋体"/>
                <w:sz w:val="28"/>
                <w:szCs w:val="28"/>
              </w:rPr>
            </w:pPr>
            <w:r>
              <w:rPr>
                <w:rFonts w:hint="eastAsia" w:ascii="宋体" w:hAnsi="宋体"/>
                <w:sz w:val="28"/>
                <w:szCs w:val="28"/>
              </w:rPr>
              <w:t>20</w:t>
            </w:r>
          </w:p>
        </w:tc>
        <w:tc>
          <w:tcPr>
            <w:tcW w:w="652" w:type="pct"/>
            <w:tcBorders>
              <w:top w:val="single" w:color="auto" w:sz="4" w:space="0"/>
              <w:left w:val="single" w:color="auto" w:sz="4" w:space="0"/>
              <w:bottom w:val="single" w:color="auto" w:sz="4" w:space="0"/>
              <w:right w:val="single" w:color="auto" w:sz="4" w:space="0"/>
            </w:tcBorders>
            <w:vAlign w:val="center"/>
          </w:tcPr>
          <w:p w14:paraId="2881DFF6">
            <w:pPr>
              <w:snapToGrid w:val="0"/>
              <w:jc w:val="center"/>
              <w:rPr>
                <w:rFonts w:hint="eastAsia" w:ascii="宋体" w:hAnsi="宋体"/>
                <w:sz w:val="28"/>
                <w:szCs w:val="28"/>
              </w:rPr>
            </w:pPr>
          </w:p>
        </w:tc>
      </w:tr>
      <w:tr w14:paraId="4362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382" w:type="pct"/>
            <w:tcBorders>
              <w:top w:val="single" w:color="auto" w:sz="4" w:space="0"/>
              <w:left w:val="single" w:color="auto" w:sz="4" w:space="0"/>
              <w:bottom w:val="single" w:color="auto" w:sz="4" w:space="0"/>
              <w:right w:val="single" w:color="auto" w:sz="4" w:space="0"/>
            </w:tcBorders>
            <w:vAlign w:val="center"/>
          </w:tcPr>
          <w:p w14:paraId="6A90BB76">
            <w:pPr>
              <w:snapToGrid w:val="0"/>
              <w:jc w:val="center"/>
              <w:rPr>
                <w:rFonts w:hint="eastAsia" w:ascii="宋体" w:hAnsi="宋体"/>
                <w:sz w:val="24"/>
                <w:szCs w:val="24"/>
              </w:rPr>
            </w:pPr>
            <w:r>
              <w:rPr>
                <w:rFonts w:hint="eastAsia" w:ascii="宋体" w:hAnsi="宋体"/>
                <w:sz w:val="24"/>
                <w:szCs w:val="24"/>
              </w:rPr>
              <w:t>3</w:t>
            </w:r>
          </w:p>
        </w:tc>
        <w:tc>
          <w:tcPr>
            <w:tcW w:w="607" w:type="pct"/>
            <w:tcBorders>
              <w:top w:val="single" w:color="auto" w:sz="4" w:space="0"/>
              <w:left w:val="single" w:color="auto" w:sz="4" w:space="0"/>
              <w:bottom w:val="single" w:color="auto" w:sz="4" w:space="0"/>
              <w:right w:val="single" w:color="auto" w:sz="4" w:space="0"/>
            </w:tcBorders>
            <w:noWrap/>
            <w:vAlign w:val="center"/>
          </w:tcPr>
          <w:p w14:paraId="4D749E12">
            <w:pPr>
              <w:snapToGrid w:val="0"/>
              <w:jc w:val="center"/>
              <w:rPr>
                <w:rFonts w:hint="eastAsia" w:ascii="宋体" w:hAnsi="宋体"/>
                <w:sz w:val="28"/>
                <w:szCs w:val="28"/>
              </w:rPr>
            </w:pPr>
            <w:r>
              <w:rPr>
                <w:rFonts w:hint="eastAsia" w:ascii="宋体" w:hAnsi="宋体"/>
                <w:sz w:val="28"/>
                <w:szCs w:val="28"/>
              </w:rPr>
              <w:t>考核评价</w:t>
            </w:r>
          </w:p>
        </w:tc>
        <w:tc>
          <w:tcPr>
            <w:tcW w:w="2745" w:type="pct"/>
            <w:tcBorders>
              <w:top w:val="single" w:color="auto" w:sz="4" w:space="0"/>
              <w:left w:val="single" w:color="auto" w:sz="4" w:space="0"/>
              <w:bottom w:val="single" w:color="auto" w:sz="4" w:space="0"/>
              <w:right w:val="single" w:color="auto" w:sz="4" w:space="0"/>
            </w:tcBorders>
            <w:noWrap/>
            <w:vAlign w:val="center"/>
          </w:tcPr>
          <w:p w14:paraId="0DE0EA37">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宋体" w:hAnsi="宋体"/>
                <w:sz w:val="24"/>
                <w:szCs w:val="24"/>
              </w:rPr>
            </w:pPr>
            <w:r>
              <w:rPr>
                <w:rFonts w:hint="eastAsia" w:ascii="宋体" w:hAnsi="宋体"/>
                <w:sz w:val="28"/>
                <w:szCs w:val="28"/>
              </w:rPr>
              <w:t>过程与结果并重，过程性评价占比≥60%，涵盖参与、协作、进度、解决问题能力。评价主体多元：教师、自评、互评，条件允许时引入行业专家。</w:t>
            </w:r>
          </w:p>
        </w:tc>
        <w:tc>
          <w:tcPr>
            <w:tcW w:w="614" w:type="pct"/>
            <w:tcBorders>
              <w:top w:val="single" w:color="auto" w:sz="4" w:space="0"/>
              <w:left w:val="single" w:color="auto" w:sz="4" w:space="0"/>
              <w:bottom w:val="single" w:color="auto" w:sz="4" w:space="0"/>
              <w:right w:val="single" w:color="auto" w:sz="4" w:space="0"/>
            </w:tcBorders>
            <w:vAlign w:val="center"/>
          </w:tcPr>
          <w:p w14:paraId="0885F303">
            <w:pPr>
              <w:snapToGrid w:val="0"/>
              <w:jc w:val="center"/>
              <w:rPr>
                <w:rFonts w:hint="eastAsia" w:ascii="宋体" w:hAnsi="宋体"/>
                <w:sz w:val="28"/>
                <w:szCs w:val="28"/>
              </w:rPr>
            </w:pPr>
            <w:r>
              <w:rPr>
                <w:rFonts w:hint="eastAsia" w:ascii="宋体" w:hAnsi="宋体"/>
                <w:sz w:val="28"/>
                <w:szCs w:val="28"/>
              </w:rPr>
              <w:t>30</w:t>
            </w:r>
          </w:p>
        </w:tc>
        <w:tc>
          <w:tcPr>
            <w:tcW w:w="652" w:type="pct"/>
            <w:tcBorders>
              <w:top w:val="single" w:color="auto" w:sz="4" w:space="0"/>
              <w:left w:val="single" w:color="auto" w:sz="4" w:space="0"/>
              <w:bottom w:val="single" w:color="auto" w:sz="4" w:space="0"/>
              <w:right w:val="single" w:color="auto" w:sz="4" w:space="0"/>
            </w:tcBorders>
            <w:vAlign w:val="center"/>
          </w:tcPr>
          <w:p w14:paraId="15C861F4">
            <w:pPr>
              <w:snapToGrid w:val="0"/>
              <w:jc w:val="center"/>
              <w:rPr>
                <w:rFonts w:hint="eastAsia" w:ascii="宋体" w:hAnsi="宋体"/>
                <w:sz w:val="28"/>
                <w:szCs w:val="28"/>
              </w:rPr>
            </w:pPr>
          </w:p>
        </w:tc>
      </w:tr>
      <w:tr w14:paraId="0C33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jc w:val="center"/>
        </w:trPr>
        <w:tc>
          <w:tcPr>
            <w:tcW w:w="382" w:type="pct"/>
            <w:tcBorders>
              <w:top w:val="single" w:color="auto" w:sz="4" w:space="0"/>
              <w:left w:val="single" w:color="auto" w:sz="4" w:space="0"/>
              <w:bottom w:val="single" w:color="auto" w:sz="4" w:space="0"/>
              <w:right w:val="single" w:color="auto" w:sz="4" w:space="0"/>
            </w:tcBorders>
            <w:vAlign w:val="center"/>
          </w:tcPr>
          <w:p w14:paraId="38A383AB">
            <w:pPr>
              <w:snapToGrid w:val="0"/>
              <w:jc w:val="center"/>
              <w:rPr>
                <w:rFonts w:hint="eastAsia" w:ascii="宋体" w:hAnsi="宋体"/>
                <w:sz w:val="24"/>
                <w:szCs w:val="24"/>
              </w:rPr>
            </w:pPr>
            <w:r>
              <w:rPr>
                <w:rFonts w:hint="eastAsia" w:ascii="宋体" w:hAnsi="宋体"/>
                <w:sz w:val="24"/>
                <w:szCs w:val="24"/>
              </w:rPr>
              <w:t>4</w:t>
            </w:r>
          </w:p>
        </w:tc>
        <w:tc>
          <w:tcPr>
            <w:tcW w:w="607" w:type="pct"/>
            <w:tcBorders>
              <w:top w:val="single" w:color="auto" w:sz="4" w:space="0"/>
              <w:left w:val="single" w:color="auto" w:sz="4" w:space="0"/>
              <w:bottom w:val="single" w:color="auto" w:sz="4" w:space="0"/>
              <w:right w:val="single" w:color="auto" w:sz="4" w:space="0"/>
            </w:tcBorders>
            <w:noWrap/>
            <w:vAlign w:val="center"/>
          </w:tcPr>
          <w:p w14:paraId="73FF1800">
            <w:pPr>
              <w:snapToGrid w:val="0"/>
              <w:jc w:val="center"/>
              <w:rPr>
                <w:rFonts w:hint="eastAsia" w:ascii="宋体" w:hAnsi="宋体"/>
                <w:sz w:val="28"/>
                <w:szCs w:val="28"/>
              </w:rPr>
            </w:pPr>
            <w:r>
              <w:rPr>
                <w:rFonts w:hint="eastAsia" w:ascii="宋体" w:hAnsi="宋体"/>
                <w:sz w:val="28"/>
                <w:szCs w:val="28"/>
              </w:rPr>
              <w:t>支持系统</w:t>
            </w:r>
          </w:p>
        </w:tc>
        <w:tc>
          <w:tcPr>
            <w:tcW w:w="2745" w:type="pct"/>
            <w:tcBorders>
              <w:top w:val="single" w:color="auto" w:sz="4" w:space="0"/>
              <w:left w:val="single" w:color="auto" w:sz="4" w:space="0"/>
              <w:bottom w:val="single" w:color="auto" w:sz="4" w:space="0"/>
              <w:right w:val="single" w:color="auto" w:sz="4" w:space="0"/>
            </w:tcBorders>
            <w:noWrap/>
            <w:vAlign w:val="center"/>
          </w:tcPr>
          <w:p w14:paraId="1C48B2E3">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宋体" w:hAnsi="宋体"/>
                <w:sz w:val="24"/>
                <w:szCs w:val="24"/>
              </w:rPr>
            </w:pPr>
            <w:r>
              <w:rPr>
                <w:rFonts w:hint="eastAsia" w:ascii="宋体" w:hAnsi="宋体"/>
                <w:sz w:val="28"/>
                <w:szCs w:val="28"/>
              </w:rPr>
              <w:t>建立教学团队协作机制，定期研讨、统一标准、联合指导、资源共享。依托“智学桂电”平台，建设并上线项目资源、评价量规、成果素材，实现资源可查、可用、可评，避免低水平重复。</w:t>
            </w:r>
          </w:p>
        </w:tc>
        <w:tc>
          <w:tcPr>
            <w:tcW w:w="614" w:type="pct"/>
            <w:tcBorders>
              <w:top w:val="single" w:color="auto" w:sz="4" w:space="0"/>
              <w:left w:val="single" w:color="auto" w:sz="4" w:space="0"/>
              <w:bottom w:val="single" w:color="auto" w:sz="4" w:space="0"/>
              <w:right w:val="single" w:color="auto" w:sz="4" w:space="0"/>
            </w:tcBorders>
            <w:vAlign w:val="center"/>
          </w:tcPr>
          <w:p w14:paraId="2C035DBF">
            <w:pPr>
              <w:snapToGrid w:val="0"/>
              <w:jc w:val="center"/>
              <w:rPr>
                <w:rFonts w:hint="eastAsia" w:ascii="宋体" w:hAnsi="宋体"/>
                <w:sz w:val="28"/>
                <w:szCs w:val="28"/>
              </w:rPr>
            </w:pPr>
            <w:r>
              <w:rPr>
                <w:rFonts w:hint="eastAsia" w:ascii="宋体" w:hAnsi="宋体"/>
                <w:sz w:val="28"/>
                <w:szCs w:val="28"/>
              </w:rPr>
              <w:t>20</w:t>
            </w:r>
          </w:p>
        </w:tc>
        <w:tc>
          <w:tcPr>
            <w:tcW w:w="652" w:type="pct"/>
            <w:tcBorders>
              <w:top w:val="single" w:color="auto" w:sz="4" w:space="0"/>
              <w:left w:val="single" w:color="auto" w:sz="4" w:space="0"/>
              <w:bottom w:val="single" w:color="auto" w:sz="4" w:space="0"/>
              <w:right w:val="single" w:color="auto" w:sz="4" w:space="0"/>
            </w:tcBorders>
            <w:vAlign w:val="center"/>
          </w:tcPr>
          <w:p w14:paraId="18303378">
            <w:pPr>
              <w:snapToGrid w:val="0"/>
              <w:jc w:val="center"/>
              <w:rPr>
                <w:rFonts w:hint="eastAsia" w:ascii="宋体" w:hAnsi="宋体"/>
                <w:sz w:val="28"/>
                <w:szCs w:val="28"/>
              </w:rPr>
            </w:pPr>
          </w:p>
        </w:tc>
      </w:tr>
      <w:tr w14:paraId="6262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3734" w:type="pct"/>
            <w:gridSpan w:val="3"/>
            <w:tcBorders>
              <w:top w:val="single" w:color="auto" w:sz="4" w:space="0"/>
              <w:left w:val="single" w:color="auto" w:sz="4" w:space="0"/>
              <w:bottom w:val="single" w:color="auto" w:sz="4" w:space="0"/>
              <w:right w:val="single" w:color="auto" w:sz="4" w:space="0"/>
            </w:tcBorders>
            <w:vAlign w:val="center"/>
          </w:tcPr>
          <w:p w14:paraId="308CAE62">
            <w:pPr>
              <w:snapToGrid w:val="0"/>
              <w:jc w:val="center"/>
              <w:rPr>
                <w:rFonts w:hint="eastAsia" w:ascii="宋体" w:hAnsi="宋体"/>
                <w:sz w:val="28"/>
                <w:szCs w:val="28"/>
              </w:rPr>
            </w:pPr>
            <w:r>
              <w:rPr>
                <w:rFonts w:hint="eastAsia" w:ascii="宋体" w:hAnsi="宋体"/>
                <w:sz w:val="28"/>
                <w:szCs w:val="28"/>
              </w:rPr>
              <w:t>总评成绩</w:t>
            </w:r>
          </w:p>
        </w:tc>
        <w:tc>
          <w:tcPr>
            <w:tcW w:w="614" w:type="pct"/>
            <w:tcBorders>
              <w:top w:val="single" w:color="auto" w:sz="4" w:space="0"/>
              <w:left w:val="single" w:color="auto" w:sz="4" w:space="0"/>
              <w:bottom w:val="single" w:color="auto" w:sz="4" w:space="0"/>
              <w:right w:val="single" w:color="auto" w:sz="4" w:space="0"/>
            </w:tcBorders>
            <w:vAlign w:val="center"/>
          </w:tcPr>
          <w:p w14:paraId="200ABA1F">
            <w:pPr>
              <w:snapToGrid w:val="0"/>
              <w:jc w:val="center"/>
              <w:rPr>
                <w:rFonts w:hint="eastAsia" w:ascii="宋体" w:hAnsi="宋体"/>
                <w:sz w:val="28"/>
                <w:szCs w:val="28"/>
              </w:rPr>
            </w:pPr>
            <w:r>
              <w:rPr>
                <w:rFonts w:hint="eastAsia" w:ascii="宋体" w:hAnsi="宋体"/>
                <w:sz w:val="28"/>
                <w:szCs w:val="28"/>
              </w:rPr>
              <w:t>100</w:t>
            </w:r>
          </w:p>
        </w:tc>
        <w:tc>
          <w:tcPr>
            <w:tcW w:w="652" w:type="pct"/>
            <w:tcBorders>
              <w:top w:val="single" w:color="auto" w:sz="4" w:space="0"/>
              <w:left w:val="single" w:color="auto" w:sz="4" w:space="0"/>
              <w:bottom w:val="single" w:color="auto" w:sz="4" w:space="0"/>
              <w:right w:val="single" w:color="auto" w:sz="4" w:space="0"/>
            </w:tcBorders>
            <w:vAlign w:val="center"/>
          </w:tcPr>
          <w:p w14:paraId="56930CE7">
            <w:pPr>
              <w:snapToGrid w:val="0"/>
              <w:jc w:val="center"/>
              <w:rPr>
                <w:rFonts w:hint="eastAsia" w:ascii="宋体" w:hAnsi="宋体"/>
                <w:sz w:val="28"/>
                <w:szCs w:val="28"/>
              </w:rPr>
            </w:pPr>
          </w:p>
        </w:tc>
      </w:tr>
    </w:tbl>
    <w:p w14:paraId="07EC026A">
      <w:pPr>
        <w:kinsoku w:val="0"/>
        <w:spacing w:line="120" w:lineRule="atLeast"/>
        <w:rPr>
          <w:rFonts w:ascii="方正小标宋简体" w:eastAsia="方正小标宋简体"/>
          <w:sz w:val="18"/>
          <w:szCs w:val="1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0BF301-656E-4D33-9093-06A2AE4F63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DA15419F-BB39-4692-AD3B-0D5AC8682515}"/>
  </w:font>
  <w:font w:name="WPSEMBED1">
    <w:panose1 w:val="02010609030101010101"/>
    <w:charset w:val="86"/>
    <w:family w:val="auto"/>
    <w:pitch w:val="default"/>
    <w:sig w:usb0="00000001" w:usb1="080E0000" w:usb2="00000000" w:usb3="00000000" w:csb0="00040000" w:csb1="00000000"/>
    <w:embedRegular r:id="rId3" w:fontKey="{B67A20A0-6B5F-4445-841A-ED181F95637B}"/>
  </w:font>
  <w:font w:name="方正小标宋简体">
    <w:panose1 w:val="02010600010101010101"/>
    <w:charset w:val="86"/>
    <w:family w:val="auto"/>
    <w:pitch w:val="default"/>
    <w:sig w:usb0="00000001" w:usb1="080E0000" w:usb2="00000000" w:usb3="00000000" w:csb0="00040000" w:csb1="00000000"/>
    <w:embedRegular r:id="rId4" w:fontKey="{79B0AA0F-77BF-4E4E-BA4C-9FAE6632E215}"/>
  </w:font>
  <w:font w:name="仿宋_GB2312">
    <w:altName w:val="仿宋"/>
    <w:panose1 w:val="02010609030101010101"/>
    <w:charset w:val="86"/>
    <w:family w:val="modern"/>
    <w:pitch w:val="default"/>
    <w:sig w:usb0="00000001" w:usb1="080E0000" w:usb2="00000000" w:usb3="00000000" w:csb0="00040000" w:csb1="00000000"/>
    <w:embedRegular r:id="rId5" w:fontKey="{E7293BCF-8260-4A0A-80AF-68271997E9A0}"/>
  </w:font>
  <w:font w:name="WPSEMBED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F4F6D"/>
    <w:multiLevelType w:val="multilevel"/>
    <w:tmpl w:val="1B4F4F6D"/>
    <w:lvl w:ilvl="0" w:tentative="0">
      <w:start w:val="1"/>
      <w:numFmt w:val="decimal"/>
      <w:pStyle w:val="8"/>
      <w:lvlText w:val="%1."/>
      <w:lvlJc w:val="left"/>
      <w:pPr>
        <w:ind w:left="1000" w:hanging="36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44093E"/>
    <w:rsid w:val="000064A5"/>
    <w:rsid w:val="00125121"/>
    <w:rsid w:val="00131ADF"/>
    <w:rsid w:val="001350B8"/>
    <w:rsid w:val="00143693"/>
    <w:rsid w:val="00261F80"/>
    <w:rsid w:val="002862F4"/>
    <w:rsid w:val="004D37BD"/>
    <w:rsid w:val="0050452A"/>
    <w:rsid w:val="00587973"/>
    <w:rsid w:val="00604D0D"/>
    <w:rsid w:val="006C4C19"/>
    <w:rsid w:val="00880A4A"/>
    <w:rsid w:val="008E31E7"/>
    <w:rsid w:val="00A91E6E"/>
    <w:rsid w:val="00A94376"/>
    <w:rsid w:val="00BE3D3D"/>
    <w:rsid w:val="00BE4E71"/>
    <w:rsid w:val="00C44B15"/>
    <w:rsid w:val="00CA7FA4"/>
    <w:rsid w:val="00D14E9A"/>
    <w:rsid w:val="00E103BD"/>
    <w:rsid w:val="00E6655E"/>
    <w:rsid w:val="00EA4247"/>
    <w:rsid w:val="00F26009"/>
    <w:rsid w:val="01AF0E8E"/>
    <w:rsid w:val="03732D8A"/>
    <w:rsid w:val="042613DE"/>
    <w:rsid w:val="04F03C97"/>
    <w:rsid w:val="092A3A4F"/>
    <w:rsid w:val="09385C0D"/>
    <w:rsid w:val="09DE5376"/>
    <w:rsid w:val="0B776EC2"/>
    <w:rsid w:val="0B995089"/>
    <w:rsid w:val="101C0036"/>
    <w:rsid w:val="163A4C35"/>
    <w:rsid w:val="16622D69"/>
    <w:rsid w:val="18B057C0"/>
    <w:rsid w:val="1A2C5BDB"/>
    <w:rsid w:val="1BF754B3"/>
    <w:rsid w:val="1EDE10C5"/>
    <w:rsid w:val="21D211C7"/>
    <w:rsid w:val="22477195"/>
    <w:rsid w:val="26A36CD0"/>
    <w:rsid w:val="29286D4B"/>
    <w:rsid w:val="29BB04D6"/>
    <w:rsid w:val="2A016FCF"/>
    <w:rsid w:val="2BE041B6"/>
    <w:rsid w:val="2CBA0563"/>
    <w:rsid w:val="2D6F0515"/>
    <w:rsid w:val="2E6B355C"/>
    <w:rsid w:val="36490997"/>
    <w:rsid w:val="373D426B"/>
    <w:rsid w:val="38DC3D18"/>
    <w:rsid w:val="38EB4750"/>
    <w:rsid w:val="3A4A561C"/>
    <w:rsid w:val="3C4E6E88"/>
    <w:rsid w:val="3E4929A2"/>
    <w:rsid w:val="3FD06184"/>
    <w:rsid w:val="40E40E0C"/>
    <w:rsid w:val="42B21FB1"/>
    <w:rsid w:val="42E63A08"/>
    <w:rsid w:val="46D83FB0"/>
    <w:rsid w:val="49731D6E"/>
    <w:rsid w:val="4B092817"/>
    <w:rsid w:val="4B5E0F27"/>
    <w:rsid w:val="4EAC3D58"/>
    <w:rsid w:val="51642CF1"/>
    <w:rsid w:val="53B86CFB"/>
    <w:rsid w:val="554271C4"/>
    <w:rsid w:val="556C64C5"/>
    <w:rsid w:val="55A51501"/>
    <w:rsid w:val="56907066"/>
    <w:rsid w:val="575223EE"/>
    <w:rsid w:val="57AE24BD"/>
    <w:rsid w:val="58D05971"/>
    <w:rsid w:val="59101387"/>
    <w:rsid w:val="59702A94"/>
    <w:rsid w:val="5E166101"/>
    <w:rsid w:val="5E8017C8"/>
    <w:rsid w:val="60DD2852"/>
    <w:rsid w:val="64F44E68"/>
    <w:rsid w:val="681D7BFC"/>
    <w:rsid w:val="693368BC"/>
    <w:rsid w:val="69586B5E"/>
    <w:rsid w:val="6B3F6B3B"/>
    <w:rsid w:val="6DA34120"/>
    <w:rsid w:val="6ED722D3"/>
    <w:rsid w:val="6F92269E"/>
    <w:rsid w:val="6FDE1A81"/>
    <w:rsid w:val="71A05546"/>
    <w:rsid w:val="722F2426"/>
    <w:rsid w:val="7252160B"/>
    <w:rsid w:val="72E72D01"/>
    <w:rsid w:val="73370079"/>
    <w:rsid w:val="74041A81"/>
    <w:rsid w:val="7444093E"/>
    <w:rsid w:val="76D90BB3"/>
    <w:rsid w:val="78C25DA2"/>
    <w:rsid w:val="7927403C"/>
    <w:rsid w:val="796A4195"/>
    <w:rsid w:val="7AD80EEA"/>
    <w:rsid w:val="7AEC5358"/>
    <w:rsid w:val="7BF85F7F"/>
    <w:rsid w:val="7D4B1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qFormat/>
    <w:uiPriority w:val="0"/>
    <w:pPr>
      <w:ind w:left="100" w:leftChars="2500"/>
    </w:pPr>
  </w:style>
  <w:style w:type="paragraph" w:styleId="3">
    <w:name w:val="footer"/>
    <w:basedOn w:val="1"/>
    <w:unhideWhenUsed/>
    <w:qFormat/>
    <w:uiPriority w:val="0"/>
    <w:pPr>
      <w:tabs>
        <w:tab w:val="center" w:pos="4153"/>
        <w:tab w:val="right" w:pos="8306"/>
      </w:tabs>
      <w:snapToGrid w:val="0"/>
      <w:spacing w:line="240" w:lineRule="atLeast"/>
      <w:jc w:val="left"/>
    </w:pPr>
    <w:rPr>
      <w:sz w:val="18"/>
      <w:szCs w:val="18"/>
    </w:rPr>
  </w:style>
  <w:style w:type="paragraph" w:styleId="4">
    <w:name w:val="header"/>
    <w:basedOn w:val="1"/>
    <w:link w:val="11"/>
    <w:qFormat/>
    <w:uiPriority w:val="0"/>
    <w:pPr>
      <w:tabs>
        <w:tab w:val="center" w:pos="4153"/>
        <w:tab w:val="right" w:pos="8306"/>
      </w:tabs>
      <w:snapToGrid w:val="0"/>
      <w:spacing w:line="240" w:lineRule="atLeast"/>
      <w:jc w:val="center"/>
    </w:pPr>
    <w:rPr>
      <w:sz w:val="18"/>
      <w:szCs w:val="18"/>
    </w:rPr>
  </w:style>
  <w:style w:type="character" w:styleId="7">
    <w:name w:val="page number"/>
    <w:qFormat/>
    <w:uiPriority w:val="0"/>
  </w:style>
  <w:style w:type="paragraph" w:styleId="8">
    <w:name w:val="List Paragraph"/>
    <w:basedOn w:val="1"/>
    <w:autoRedefine/>
    <w:qFormat/>
    <w:uiPriority w:val="34"/>
    <w:pPr>
      <w:numPr>
        <w:ilvl w:val="0"/>
        <w:numId w:val="1"/>
      </w:numPr>
      <w:tabs>
        <w:tab w:val="left" w:pos="312"/>
      </w:tabs>
      <w:adjustRightInd/>
      <w:spacing w:line="240" w:lineRule="auto"/>
      <w:ind w:left="1" w:leftChars="-62" w:hanging="131" w:hangingChars="41"/>
      <w:textAlignment w:val="auto"/>
    </w:pPr>
    <w:rPr>
      <w:rFonts w:ascii="仿宋" w:hAnsi="仿宋" w:eastAsia="仿宋"/>
      <w:kern w:val="2"/>
      <w:sz w:val="32"/>
      <w:szCs w:val="32"/>
    </w:rPr>
  </w:style>
  <w:style w:type="character" w:customStyle="1" w:styleId="9">
    <w:name w:val="font31"/>
    <w:basedOn w:val="6"/>
    <w:qFormat/>
    <w:uiPriority w:val="0"/>
    <w:rPr>
      <w:rFonts w:hint="eastAsia" w:ascii="宋体" w:hAnsi="宋体" w:eastAsia="宋体" w:cs="宋体"/>
      <w:color w:val="000000"/>
      <w:sz w:val="22"/>
      <w:szCs w:val="22"/>
      <w:u w:val="none"/>
    </w:rPr>
  </w:style>
  <w:style w:type="character" w:customStyle="1" w:styleId="10">
    <w:name w:val="font61"/>
    <w:basedOn w:val="6"/>
    <w:qFormat/>
    <w:uiPriority w:val="0"/>
    <w:rPr>
      <w:rFonts w:ascii="WPSEMBED1" w:hAnsi="WPSEMBED1" w:eastAsia="WPSEMBED1" w:cs="WPSEMBED1"/>
      <w:color w:val="000000"/>
      <w:sz w:val="22"/>
      <w:szCs w:val="22"/>
      <w:u w:val="none"/>
    </w:rPr>
  </w:style>
  <w:style w:type="character" w:customStyle="1" w:styleId="11">
    <w:name w:val="页眉 字符"/>
    <w:basedOn w:val="6"/>
    <w:link w:val="4"/>
    <w:qFormat/>
    <w:uiPriority w:val="0"/>
    <w:rPr>
      <w:sz w:val="18"/>
      <w:szCs w:val="18"/>
    </w:rPr>
  </w:style>
  <w:style w:type="character" w:customStyle="1" w:styleId="12">
    <w:name w:val="日期 字符"/>
    <w:basedOn w:val="6"/>
    <w:link w:val="2"/>
    <w:qFormat/>
    <w:uiPriority w:val="0"/>
    <w:rPr>
      <w:sz w:val="21"/>
    </w:rPr>
  </w:style>
  <w:style w:type="paragraph" w:customStyle="1" w:styleId="13">
    <w:name w:val="Revision"/>
    <w:hidden/>
    <w:unhideWhenUsed/>
    <w:qFormat/>
    <w:uiPriority w:val="99"/>
    <w:rPr>
      <w:rFonts w:ascii="Times New Roman" w:hAnsi="Times New Roman" w:eastAsia="宋体" w:cs="Times New Roman"/>
      <w:sz w:val="21"/>
      <w:lang w:val="en-US" w:eastAsia="zh-CN" w:bidi="ar-SA"/>
    </w:rPr>
  </w:style>
  <w:style w:type="character" w:customStyle="1" w:styleId="14">
    <w:name w:val="font51"/>
    <w:basedOn w:val="6"/>
    <w:qFormat/>
    <w:uiPriority w:val="0"/>
    <w:rPr>
      <w:rFonts w:hint="eastAsia" w:ascii="宋体" w:hAnsi="宋体" w:eastAsia="宋体" w:cs="宋体"/>
      <w:color w:val="000000"/>
      <w:sz w:val="22"/>
      <w:szCs w:val="22"/>
      <w:u w:val="none"/>
    </w:rPr>
  </w:style>
  <w:style w:type="character" w:customStyle="1" w:styleId="15">
    <w:name w:val="font71"/>
    <w:basedOn w:val="6"/>
    <w:qFormat/>
    <w:uiPriority w:val="0"/>
    <w:rPr>
      <w:rFonts w:ascii="WPSEMBED1" w:hAnsi="WPSEMBED1" w:eastAsia="WPSEMBED1" w:cs="WPSEMBED1"/>
      <w:color w:val="000000"/>
      <w:sz w:val="22"/>
      <w:szCs w:val="22"/>
      <w:u w:val="none"/>
    </w:rPr>
  </w:style>
  <w:style w:type="character" w:customStyle="1" w:styleId="16">
    <w:name w:val="font41"/>
    <w:basedOn w:val="6"/>
    <w:qFormat/>
    <w:uiPriority w:val="0"/>
    <w:rPr>
      <w:rFonts w:hint="eastAsia" w:ascii="宋体" w:hAnsi="宋体" w:eastAsia="宋体" w:cs="宋体"/>
      <w:color w:val="000000"/>
      <w:sz w:val="22"/>
      <w:szCs w:val="22"/>
      <w:u w:val="none"/>
    </w:rPr>
  </w:style>
  <w:style w:type="character" w:customStyle="1" w:styleId="17">
    <w:name w:val="font11"/>
    <w:basedOn w:val="6"/>
    <w:qFormat/>
    <w:uiPriority w:val="0"/>
    <w:rPr>
      <w:rFonts w:hint="eastAsia" w:ascii="宋体" w:hAnsi="宋体" w:eastAsia="宋体" w:cs="宋体"/>
      <w:b/>
      <w:bCs/>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1c7dcf70-86ad-411a-8848-83f66767758b</errorID>
      <errorWord>扣式</errorWord>
      <group>L1_Word</group>
      <groupName>字词问题</groupName>
      <ability>L2_Typo</ability>
      <abilityName>字词错误</abilityName>
      <candidateList>
        <item>锂离子</item>
      </candidateList>
      <explain/>
      <paraID>1903E28F</paraID>
      <start>0</start>
      <end>2</end>
      <status>unmodified</status>
      <modifiedWord/>
      <trackRevisions>false</trackRevisions>
    </reviewItem>
    <reviewItem>
      <errorID>877417d1-a00d-4ab0-bc50-3d3c6e159fd5</errorID>
      <errorWord>系 统</errorWord>
      <group>L1_Word</group>
      <groupName>字词问题</groupName>
      <ability>L2_Typo</ability>
      <abilityName>字词错误</abilityName>
      <candidateList>
        <item>系统</item>
      </candidateList>
      <explain/>
      <paraID>1071E40F</paraID>
      <start>15</start>
      <end>17</end>
      <status>modified</status>
      <modifiedWord>系统</modifiedWord>
      <trackRevisions>false</trackRevisions>
    </reviewItem>
    <reviewItem>
      <errorID>a0282aeb-eeac-4e99-a9b7-89491c9f8669</errorID>
      <errorWord>项</errorWord>
      <group>L1_Word</group>
      <groupName>字词问题</groupName>
      <ability>L2_Typo</ability>
      <abilityName>字词错误</abilityName>
      <candidateList>
        <item>项目</item>
      </candidateList>
      <explain/>
      <paraID>6AC92159</paraID>
      <start>17</start>
      <end>19</end>
      <status>modified</status>
      <modifiedWord>项目</modifiedWord>
      <trackRevisions>false</trackRevisions>
    </reviewItem>
    <reviewItem>
      <errorID>b338e310-fd5f-42c1-8c77-c618a96b1d56</errorID>
      <errorWord>电子封装技术、新能源材料与器材</errorWord>
      <group>L1_Other</group>
      <groupName>其他问题</groupName>
      <ability>L2_Consistency</ability>
      <abilityName>一致性检查</abilityName>
      <candidateList>
        <item>新能源材料与器件</item>
      </candidateList>
      <explain>术语一致性：‘新能源材料与器材’表述有误，结合其他处相关专业表述，应为‘新能源材料与器件’</explain>
      <paraID>5B4CBA10</paraID>
      <start>0</start>
      <end>8</end>
      <status>modified</status>
      <modifiedWord>新能源材料与器件</modifiedWord>
      <trackRevisions>false</trackRevisions>
    </reviewItem>
    <reviewItem>
      <errorID>cf73a92f-04fb-4a73-9270-18e6592a5066</errorID>
      <errorWord>-</errorWord>
      <group>L1_Format</group>
      <groupName>格式问题</groupName>
      <ability>L2_HalfPunc_CN</ability>
      <abilityName>全半角问题</abilityName>
      <candidateList>
        <item>－</item>
      </candidateList>
      <explain>文本全半角错误。</explain>
      <paraID> 462CF6C</paraID>
      <start>7</start>
      <end>8</end>
      <status>ignored</status>
      <modifiedWord/>
      <trackRevisions>false</trackRevisions>
    </reviewItem>
    <reviewItem>
      <errorID>04d56c58-292b-4cbc-91e2-8fb1b3102b0d</errorID>
      <errorWord>-</errorWord>
      <group>L1_Format</group>
      <groupName>格式问题</groupName>
      <ability>L2_HalfPunc_CN</ability>
      <abilityName>全半角问题</abilityName>
      <candidateList>
        <item>－</item>
      </candidateList>
      <explain>文本全半角错误。</explain>
      <paraID> 462CF6C</paraID>
      <start>13</start>
      <end>14</end>
      <status>ignored</status>
      <modifiedWord/>
      <trackRevisions>false</trackRevisions>
    </reviewItem>
  </reviewItems>
  <config/>
</contractReview>
</file>

<file path=customXml/itemProps1.xml><?xml version="1.0" encoding="utf-8"?>
<ds:datastoreItem xmlns:ds="http://schemas.openxmlformats.org/officeDocument/2006/customXml" ds:itemID="{cb3c90fa-2e63-4dbe-9bb1-ac3919ffd3a8}">
  <ds:schemaRefs/>
</ds:datastoreItem>
</file>

<file path=docProps/app.xml><?xml version="1.0" encoding="utf-8"?>
<Properties xmlns="http://schemas.openxmlformats.org/officeDocument/2006/extended-properties" xmlns:vt="http://schemas.openxmlformats.org/officeDocument/2006/docPropsVTypes">
  <Template>Normal</Template>
  <Pages>6</Pages>
  <Words>584</Words>
  <Characters>657</Characters>
  <Lines>24</Lines>
  <Paragraphs>6</Paragraphs>
  <TotalTime>279</TotalTime>
  <ScaleCrop>false</ScaleCrop>
  <LinksUpToDate>false</LinksUpToDate>
  <CharactersWithSpaces>773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2024-12-19T01:22:00Z</dcterms:created>
  <dc:creator>雷辉</dc:creator>
  <cp:lastModifiedBy>Lenovo</cp:lastModifiedBy>
  <dcterms:modified xsi:type="dcterms:W3CDTF">2026-07-06T03:48:59Z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71F9DFD6AFC34AE284E05797B1DA2B48_11</vt:lpwstr>
  </property>
  <property fmtid="{D5CDD505-2E9C-101B-9397-08002B2CF9AE}" pid="4" name="KSOTemplateDocerSaveRecord">
    <vt:lpwstr>eyJoZGlkIjoiZmE3ZTBkMDU1NGEzNGYzNDQ5NmYzZGM3NzI4ODZhZGQiLCJ1c2VySWQiOiIyMTE1OTMzMjYifQ==</vt:lpwstr>
  </property>
</Properties>
</file>