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E5679">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u w:val="single"/>
        </w:rPr>
        <w:t>数字化人力资源管理</w:t>
      </w:r>
      <w:r>
        <w:rPr>
          <w:rFonts w:hint="eastAsia" w:ascii="宋体" w:hAnsi="宋体" w:eastAsia="宋体" w:cs="宋体"/>
          <w:b/>
          <w:bCs/>
          <w:sz w:val="36"/>
          <w:szCs w:val="36"/>
        </w:rPr>
        <w:t>微专业培养方案</w:t>
      </w:r>
    </w:p>
    <w:p w14:paraId="604F9758">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一、专业简介</w:t>
      </w:r>
    </w:p>
    <w:p w14:paraId="104247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桂林电子科技大学人力资源管理微专业依托商学院，学院是桂林电子科技大学最大的非工科教学单位，拥有管理科学与工程、理论经济学、工商管理（MBA）、会计学（MPAcc）4个硕士点，会计学、财务管理、融工程、工业工程、信息管理与信息系统、电子商务、市场营销和人力资源管理8个专业，2019年秋季新增数字经济专业并开始招生。学院依托学校电子信息学科优势，秉承“融理弘商，经世致用”的培养理念，重视对学生专业基础理论知识、实践能力和国际化视野的培养，尤其强调数字技能素养的提升，历年来毕业生一次就业率均保持在95%以上。</w:t>
      </w:r>
    </w:p>
    <w:p w14:paraId="6DC544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数字化人力资源管理微专业师资直接依托于桂林电子科技大学商学院人力资源管理专业。本专业2011年首次招生，现已形成本科、硕士、MBA等多层次、多类型办学与人才培养格局。每年招收全日制学术型硕士、MBA工商管理硕士20余人、本科生60余人，是广西及珠三角人力资源管理专业人才重要培养基地。本专业依托学校电子信息学科的优势，专业课程设置强调跨领域、交叉性和综合性，并突出现代管理与信息技术交叉融合的专业特色和培养特色，开设课程覆盖管理学、经济学、电子信息、心理学及法学等主要相关学科。</w:t>
      </w:r>
    </w:p>
    <w:p w14:paraId="6A86485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目前，本专业共有专任教师15人，在年龄结构、职称结构上均配比良好。近5年来，本专业教师主持或参与国家自然科学基金、教育部人文社科研究课题、广西自然科学基金、广西哲学社会科学研究课题等纵向课题30余项；承担地方政府规划项目、企业委托项目30余项；发表学术论文200余篇。本专业实验室硬件良好、软件齐全，与桂林市多家企业与政府机构签订实习基地协议，为学生实训、实习、实践提供良好条件。</w:t>
      </w:r>
    </w:p>
    <w:p w14:paraId="644ABFD8">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二、修读要求</w:t>
      </w:r>
    </w:p>
    <w:p w14:paraId="512A26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学生德智体美劳全面发展，学业学有余力，申请时主修专业的累计学分绩不低于70分。</w:t>
      </w:r>
    </w:p>
    <w:p w14:paraId="4DCD67E9">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三、培养目标</w:t>
      </w:r>
    </w:p>
    <w:p w14:paraId="44A80EC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专业依托学校电子信息学科特色鲜明的优势，适应数字经济时代需求，紧盯经济社会发展重大需求，全面提升专业课程体系的数字化水平，积极推动大数据等现代信息技术与专业深度交叉融合。培养具备拥有扎实专业知识，同时兼具跨领域、交叉性和综合性学科知识，能够综合运用所学理论和方法，对企事业单位、政府部门的现实人力资源管理综合性问题进行发现、定义、分析并制定解决方案的高素质应用型人才。在培养过程中，注重专业知识、能力与大数据信息技术的交叉融合，形成明显的数字化人力资源管理的专业特色。</w:t>
      </w:r>
    </w:p>
    <w:p w14:paraId="1B5FAF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（1）能够适应人力资源管理的发展，综合运用管理学、经济学、心理学和法学相关知识以及数字化技术，为企业、事业单位和政府部门人力资源管理的各项工作提供解决方案； </w:t>
      </w:r>
    </w:p>
    <w:p w14:paraId="59BE8F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（2）能够跟踪人力资源管理的发展趋势，具备承担企业、事业单位和政府部门人才 的获取、整合、使用、激励和开发工作的能力； </w:t>
      </w:r>
    </w:p>
    <w:p w14:paraId="069F3C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（3）有良好的人文社会科学素养、社会责任感和工程职业道德。在企业人力资源管理实践中遵守法律法规； </w:t>
      </w:r>
    </w:p>
    <w:p w14:paraId="4FC35CE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（4）能够融入、带领团队进行协同创新，能够在多学科团队和跨文化环境下工作； </w:t>
      </w:r>
    </w:p>
    <w:p w14:paraId="505464E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（5）能够与时俱进，积极适应不断变化的行业发展形势和环境，拥有自主的、终生的学习能力。</w:t>
      </w:r>
    </w:p>
    <w:p w14:paraId="5CFCECCB">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四、修业年限及结业要求</w:t>
      </w:r>
    </w:p>
    <w:p w14:paraId="79F3D9BF">
      <w:pPr>
        <w:spacing w:line="360" w:lineRule="auto"/>
        <w:rPr>
          <w:rFonts w:hint="eastAsia" w:ascii="宋体" w:hAnsi="宋体" w:eastAsia="宋体" w:cs="宋体"/>
          <w:sz w:val="24"/>
          <w:szCs w:val="24"/>
        </w:rPr>
      </w:pPr>
      <w:r>
        <w:rPr>
          <w:rFonts w:hint="eastAsia" w:ascii="宋体" w:hAnsi="宋体" w:eastAsia="宋体" w:cs="宋体"/>
          <w:sz w:val="24"/>
          <w:szCs w:val="24"/>
        </w:rPr>
        <w:t>1. 修业年限：</w:t>
      </w:r>
      <w:r>
        <w:rPr>
          <w:rFonts w:hint="eastAsia" w:ascii="宋体" w:hAnsi="宋体" w:eastAsia="宋体" w:cs="宋体"/>
          <w:sz w:val="24"/>
          <w:szCs w:val="24"/>
          <w:lang w:val="en-US" w:eastAsia="zh-CN"/>
        </w:rPr>
        <w:t>2</w:t>
      </w:r>
      <w:r>
        <w:rPr>
          <w:rFonts w:hint="eastAsia" w:ascii="宋体" w:hAnsi="宋体" w:eastAsia="宋体" w:cs="宋体"/>
          <w:sz w:val="24"/>
          <w:szCs w:val="24"/>
        </w:rPr>
        <w:t>年</w:t>
      </w:r>
    </w:p>
    <w:p w14:paraId="422F3883">
      <w:pPr>
        <w:spacing w:line="360" w:lineRule="auto"/>
        <w:rPr>
          <w:rFonts w:hint="eastAsia" w:ascii="宋体" w:hAnsi="宋体" w:eastAsia="宋体" w:cs="宋体"/>
          <w:sz w:val="24"/>
          <w:szCs w:val="24"/>
        </w:rPr>
      </w:pPr>
      <w:r>
        <w:rPr>
          <w:rFonts w:hint="eastAsia" w:ascii="宋体" w:hAnsi="宋体" w:eastAsia="宋体" w:cs="宋体"/>
          <w:sz w:val="24"/>
          <w:szCs w:val="24"/>
        </w:rPr>
        <w:t>2. 结业学分：学习者须至少获得</w:t>
      </w:r>
      <w:r>
        <w:rPr>
          <w:rFonts w:hint="eastAsia" w:ascii="宋体" w:hAnsi="宋体" w:eastAsia="宋体" w:cs="宋体"/>
          <w:sz w:val="24"/>
          <w:szCs w:val="24"/>
          <w:u w:val="single"/>
        </w:rPr>
        <w:t xml:space="preserve">  17  </w:t>
      </w:r>
      <w:r>
        <w:rPr>
          <w:rFonts w:hint="eastAsia" w:ascii="宋体" w:hAnsi="宋体" w:eastAsia="宋体" w:cs="宋体"/>
          <w:sz w:val="24"/>
          <w:szCs w:val="24"/>
        </w:rPr>
        <w:t>个学分。</w:t>
      </w:r>
    </w:p>
    <w:p w14:paraId="7B1D5722">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3. 结业证书：修读微专业的学生，在主修专业毕业前按要求获得规定的</w:t>
      </w:r>
      <w:r>
        <w:rPr>
          <w:rFonts w:hint="eastAsia" w:ascii="宋体" w:hAnsi="宋体" w:eastAsia="宋体" w:cs="宋体"/>
          <w:sz w:val="24"/>
          <w:szCs w:val="24"/>
          <w:u w:val="single"/>
        </w:rPr>
        <w:t xml:space="preserve"> 17 </w:t>
      </w:r>
      <w:r>
        <w:rPr>
          <w:rFonts w:hint="eastAsia" w:ascii="宋体" w:hAnsi="宋体" w:eastAsia="宋体" w:cs="宋体"/>
          <w:sz w:val="24"/>
          <w:szCs w:val="24"/>
        </w:rPr>
        <w:t>学分达到发证资格要求，由学校颁发</w:t>
      </w:r>
      <w:r>
        <w:rPr>
          <w:rFonts w:hint="eastAsia" w:ascii="宋体" w:hAnsi="宋体" w:eastAsia="宋体" w:cs="宋体"/>
          <w:sz w:val="24"/>
          <w:szCs w:val="24"/>
          <w:u w:val="single"/>
        </w:rPr>
        <w:t xml:space="preserve"> 数字化人力资源管理 </w:t>
      </w:r>
      <w:r>
        <w:rPr>
          <w:rFonts w:hint="eastAsia" w:ascii="宋体" w:hAnsi="宋体" w:eastAsia="宋体" w:cs="宋体"/>
          <w:sz w:val="24"/>
          <w:szCs w:val="24"/>
        </w:rPr>
        <w:t xml:space="preserve"> 微专业证书。</w:t>
      </w:r>
    </w:p>
    <w:p w14:paraId="19582F76">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五、课程设置</w:t>
      </w:r>
    </w:p>
    <w:p w14:paraId="3A614839">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 主要课程</w:t>
      </w:r>
    </w:p>
    <w:p w14:paraId="7DA1D062">
      <w:pPr>
        <w:spacing w:line="360" w:lineRule="auto"/>
        <w:ind w:firstLine="480" w:firstLineChars="200"/>
        <w:rPr>
          <w:rFonts w:hint="eastAsia" w:ascii="宋体" w:hAnsi="宋体" w:eastAsia="宋体" w:cs="宋体"/>
          <w:sz w:val="24"/>
          <w:szCs w:val="24"/>
        </w:rPr>
      </w:pPr>
      <w:bookmarkStart w:id="0" w:name="_Hlk98246482"/>
      <w:r>
        <w:rPr>
          <w:rFonts w:hint="eastAsia" w:ascii="宋体" w:hAnsi="宋体" w:eastAsia="宋体" w:cs="宋体"/>
          <w:sz w:val="24"/>
          <w:szCs w:val="24"/>
          <w:lang w:val="en-US" w:eastAsia="zh-CN"/>
        </w:rPr>
        <w:t>数字化</w:t>
      </w:r>
      <w:r>
        <w:rPr>
          <w:rFonts w:hint="eastAsia" w:ascii="宋体" w:hAnsi="宋体" w:eastAsia="宋体" w:cs="宋体"/>
          <w:sz w:val="24"/>
          <w:szCs w:val="24"/>
        </w:rPr>
        <w:t>人力资源管理、</w:t>
      </w:r>
      <w:bookmarkStart w:id="1" w:name="_Hlk144807506"/>
      <w:r>
        <w:rPr>
          <w:rFonts w:hint="eastAsia" w:ascii="宋体" w:hAnsi="宋体" w:eastAsia="宋体" w:cs="宋体"/>
          <w:sz w:val="24"/>
          <w:szCs w:val="24"/>
        </w:rPr>
        <w:t>人力资源</w:t>
      </w:r>
      <w:r>
        <w:rPr>
          <w:rFonts w:hint="eastAsia" w:ascii="宋体" w:hAnsi="宋体" w:eastAsia="宋体" w:cs="宋体"/>
          <w:sz w:val="24"/>
          <w:szCs w:val="24"/>
          <w:lang w:val="en-US" w:eastAsia="zh-CN"/>
        </w:rPr>
        <w:t>大数据</w:t>
      </w:r>
      <w:r>
        <w:rPr>
          <w:rFonts w:hint="eastAsia" w:ascii="宋体" w:hAnsi="宋体" w:eastAsia="宋体" w:cs="宋体"/>
          <w:sz w:val="24"/>
          <w:szCs w:val="24"/>
        </w:rPr>
        <w:t>分析、数字经济概论、数字化运营、员工招聘、培训与开发、绩效管理、薪酬管理、组织行为学</w:t>
      </w:r>
      <w:bookmarkEnd w:id="1"/>
      <w:r>
        <w:rPr>
          <w:rFonts w:hint="eastAsia" w:ascii="宋体" w:hAnsi="宋体" w:eastAsia="宋体" w:cs="宋体"/>
          <w:sz w:val="24"/>
          <w:szCs w:val="24"/>
        </w:rPr>
        <w:t>。</w:t>
      </w:r>
      <w:bookmarkEnd w:id="0"/>
    </w:p>
    <w:p w14:paraId="0CEB545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2. 课程简介</w:t>
      </w:r>
    </w:p>
    <w:p w14:paraId="0D1B3DC0">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24"/>
          <w:szCs w:val="24"/>
        </w:rPr>
      </w:pPr>
      <w:r>
        <w:rPr>
          <w:rFonts w:hint="eastAsia" w:ascii="宋体" w:hAnsi="宋体" w:eastAsia="宋体" w:cs="宋体"/>
          <w:sz w:val="24"/>
          <w:szCs w:val="24"/>
        </w:rPr>
        <w:t>包括校企共建课程，体现产教融合、新技术应用。</w:t>
      </w:r>
    </w:p>
    <w:p w14:paraId="1DE8A536">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（1）数字化人力资源管理</w:t>
      </w:r>
    </w:p>
    <w:p w14:paraId="52293038">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课程旨在对数字化人力资源管理基本概念和基本原理的学习，形成基本的人力资源管理思维，具有分析、判断人力资源管理现象和问题的基本能力。通过本课程的学习，学生应做到：了解人力资源管理基本理论知识，构建起人力资源管理专业知识的基本框架；理解人力资源与人力资本、人力资源规划、工作分析、员工招聘、绩效管理、薪酬管理与劳动关系的基本内容及其相互之间的联系；掌握工作说明书制定、员工招聘与选拔、员工培训、绩效考核与薪酬设计的基本方法以及劳动关系处理流程和步骤；提高学生管理技能、管理水平，以及从事人力资源开发的能力，树立服务企业经营的创新意识，培养客观公正的品德。</w:t>
      </w:r>
    </w:p>
    <w:p w14:paraId="1B28DA1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（2）人力资源大数据分析</w:t>
      </w:r>
    </w:p>
    <w:p w14:paraId="409B29F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课程是一门以数字化技术、经济学、心理学、行为科学为基础的综合性课程，具有跨领域性、交叉性和综合性。本课程主要讲授如何运用量化方法、分析工具和科学的逻辑来指导管理实践活动。课程采用科学的模型、表格、图形等工具，运用量化管理的方法和数据分析的逻辑，力求让公司的人力资源管理效能有效提升。主要内容包括量化管理与数据分析的正确认识与常用方法，及其在招聘管理、离职管理、人才梯队建设、培训管理、薪酬管理、绩效管理、员工关系管理中的使用方法，人力资源管理三大报表，常见错误等。</w:t>
      </w:r>
    </w:p>
    <w:p w14:paraId="508D02A8">
      <w:pPr>
        <w:spacing w:line="360" w:lineRule="auto"/>
        <w:rPr>
          <w:rFonts w:hint="eastAsia" w:ascii="宋体" w:hAnsi="宋体" w:eastAsia="宋体" w:cs="宋体"/>
          <w:sz w:val="24"/>
          <w:szCs w:val="24"/>
        </w:rPr>
      </w:pPr>
      <w:r>
        <w:rPr>
          <w:rFonts w:hint="eastAsia" w:ascii="宋体" w:hAnsi="宋体" w:eastAsia="宋体" w:cs="宋体"/>
          <w:sz w:val="24"/>
          <w:szCs w:val="24"/>
        </w:rPr>
        <w:t>（3）数字经济概论</w:t>
      </w:r>
    </w:p>
    <w:p w14:paraId="5068BB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数字经济已经成为中国经济发展最活跃的领域，是全球经济实现可持续发展的重要路径。本课程旨在讲授数字经济的基本理论，要求通过本课程学习，熟悉数字经济现象与问题，掌握数字经济理论与方法，熟悉产业数字化转型战略，了解企业和政府的数字化转型方法，为后续课程学习和工作打好理论基础。</w:t>
      </w:r>
    </w:p>
    <w:p w14:paraId="4B22FCE1">
      <w:pPr>
        <w:spacing w:line="360" w:lineRule="auto"/>
        <w:rPr>
          <w:rFonts w:hint="eastAsia" w:ascii="宋体" w:hAnsi="宋体" w:eastAsia="宋体" w:cs="宋体"/>
          <w:sz w:val="24"/>
          <w:szCs w:val="24"/>
        </w:rPr>
      </w:pPr>
      <w:r>
        <w:rPr>
          <w:rFonts w:hint="eastAsia" w:ascii="宋体" w:hAnsi="宋体" w:eastAsia="宋体" w:cs="宋体"/>
          <w:sz w:val="24"/>
          <w:szCs w:val="24"/>
        </w:rPr>
        <w:t>（4）数字化运营</w:t>
      </w:r>
    </w:p>
    <w:p w14:paraId="3E33AD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数字化运营管理是对提供产品或服务的运营系统进行数字化的规划、设计、组织与控制，课程沿着企业数字化转型的思路，从企业数字化转型战略到数字化运营系统的规划与设计再到数字化运营系统的管理与创新逐步展开，全面系统地介绍企业数字化运营管理相关的理论、方法、工具与实践，带领大家探索企业从订单到交付完整价值链的数字化转型。本课程要求学生学习掌握数字化运营管理理论、方法与技能，树立正确的生态文明、可持续发展的数字化运营管理思想以及科学、系统的创新思维，使得学生能从管理者的角度判断公司(组织)的现况、确定其挑战和机会，设计并制定一个动态的、有独特竞争优势的数字化运营管理系统与行动计划。</w:t>
      </w:r>
    </w:p>
    <w:p w14:paraId="398AE1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课程顺应数字经济时代数字化相关人才培养的需求而开始，着重培养学生应用理论知识分析和解决企业数字化转型中遇到的实际问题的能力。课程力求做到紧密联系企业实际的同时，又能形成具有严密逻辑的理论系统，视频知识点内容力求叙述简练，概念清晰，通俗易懂，便于自学。</w:t>
      </w:r>
    </w:p>
    <w:p w14:paraId="43C9D106">
      <w:pPr>
        <w:spacing w:line="360" w:lineRule="auto"/>
        <w:rPr>
          <w:rFonts w:hint="eastAsia" w:ascii="宋体" w:hAnsi="宋体" w:eastAsia="宋体" w:cs="宋体"/>
          <w:sz w:val="24"/>
          <w:szCs w:val="24"/>
        </w:rPr>
      </w:pPr>
      <w:r>
        <w:rPr>
          <w:rFonts w:hint="eastAsia" w:ascii="宋体" w:hAnsi="宋体" w:eastAsia="宋体" w:cs="宋体"/>
          <w:sz w:val="24"/>
          <w:szCs w:val="24"/>
        </w:rPr>
        <w:t>（5）员工招聘</w:t>
      </w:r>
    </w:p>
    <w:p w14:paraId="2A3E332F">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课程旨在对员工招聘管理的基本概念、理论知识以及招聘实施进行学习，并锻炼学生的实际操作能力。通过该课程的教学使学生懂得员工招聘的基本方法、流程与技巧，在实践中能提高人力资源管理和人力资源开发的效率，在理论上和方法上为进一步深入学习《绩效与薪酬管理》、《培训与开发》等后续课程打下基础。人力资源管理的一项重要功能就是为企业获取合格的人力资源，尤其是在人才竞争日趋激烈的今天，能否吸引并选拔到优秀的人才已成为企业生产和发展的关键。因此，人力资源管理的吸纳功能就愈发显得重要，人才画像可以帮助企业快速进行人岗匹配，达到精准招聘的目的。作为人力资源管理的一项基本职能活动，员工招聘是人力资源进入企业或者具体职位的重要入口，它的有效实施不仅是人力资源管理系统正常运转的前提，也是整个企业正常运转的重要保证。</w:t>
      </w:r>
    </w:p>
    <w:p w14:paraId="1950A0AA">
      <w:pPr>
        <w:spacing w:line="360" w:lineRule="auto"/>
        <w:rPr>
          <w:rFonts w:hint="eastAsia" w:ascii="宋体" w:hAnsi="宋体" w:eastAsia="宋体" w:cs="宋体"/>
          <w:sz w:val="24"/>
          <w:szCs w:val="24"/>
        </w:rPr>
      </w:pPr>
      <w:r>
        <w:rPr>
          <w:rFonts w:hint="eastAsia" w:ascii="宋体" w:hAnsi="宋体" w:eastAsia="宋体" w:cs="宋体"/>
          <w:sz w:val="24"/>
          <w:szCs w:val="24"/>
        </w:rPr>
        <w:t>（6）培训与开发</w:t>
      </w:r>
    </w:p>
    <w:p w14:paraId="16E685BB">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课程旨在对培训与开发的基本概念、理论知识以及培训的实施进行学习，培养学生实施培训与开发的实际技能。通过该课程的学习，学生们应该做到：掌握培训与开发的概念和相关理论；掌握培训需求分析的方法和技术；掌握培训的类型，并能够根据不同的培训对象选择合适的培训方式；熟悉培训计划与项目设计，并能够根据案例策划一次培训；了解培训的实施过程；掌握培训效果评估的方法等。</w:t>
      </w:r>
    </w:p>
    <w:p w14:paraId="3DE88284">
      <w:pPr>
        <w:spacing w:line="360" w:lineRule="auto"/>
        <w:rPr>
          <w:rFonts w:hint="eastAsia" w:ascii="宋体" w:hAnsi="宋体" w:eastAsia="宋体" w:cs="宋体"/>
          <w:sz w:val="24"/>
          <w:szCs w:val="24"/>
        </w:rPr>
      </w:pPr>
      <w:r>
        <w:rPr>
          <w:rFonts w:hint="eastAsia" w:ascii="宋体" w:hAnsi="宋体" w:eastAsia="宋体" w:cs="宋体"/>
          <w:sz w:val="24"/>
          <w:szCs w:val="24"/>
        </w:rPr>
        <w:t>（7）绩效管理</w:t>
      </w:r>
    </w:p>
    <w:p w14:paraId="5441B650">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绩效管理，是指各级管理者和员工为了达到组织目标共同参与绩效计划制订、绩效辅导共同、绩效考核评价、绩效结果应用、绩效目标提升的持续循环过程。本课程教学内容主要包括四部分，第一部分是介绍绩效和绩效管理的基本概念以及绩效管理国内外发展历程；第二部分从绩效计划、绩效实施、绩效考核、绩效反馈与绩效结果运用五个方面，并结合大数据思维和实践阐述绩效管理的基本实施流程；第三部分从实际应用角度，介绍绩效管理的基本工具，包括目标管理、关键绩效指标、平衡记分卡和经济增加值等；第四部分延伸并引进战略绩效管理的概念，分析战略绩效管理系统的设计以及创建高绩效工作系统。从学科属性看，绩效管理是人力资源管理专业的一门核心专业课程；从管理属性看，绩效管理是人力资源管理的一项关键职能活动。绩效管理不仅直接影响员工工作积极性发挥和潜能开发，也影响组织目标的达成和人才保留率。</w:t>
      </w:r>
    </w:p>
    <w:p w14:paraId="72318D53">
      <w:pPr>
        <w:spacing w:line="360" w:lineRule="auto"/>
        <w:rPr>
          <w:rFonts w:hint="eastAsia" w:ascii="宋体" w:hAnsi="宋体" w:eastAsia="宋体" w:cs="宋体"/>
          <w:sz w:val="24"/>
          <w:szCs w:val="24"/>
        </w:rPr>
      </w:pPr>
      <w:r>
        <w:rPr>
          <w:rFonts w:hint="eastAsia" w:ascii="宋体" w:hAnsi="宋体" w:eastAsia="宋体" w:cs="宋体"/>
          <w:sz w:val="24"/>
          <w:szCs w:val="24"/>
        </w:rPr>
        <w:t>（8）薪酬管理</w:t>
      </w:r>
    </w:p>
    <w:p w14:paraId="239491E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现代化的《薪酬管理》结合了经济学、管理学、心理学、法学的一门综合性课程，涉及经济学中有关薪酬支付的成本有效性以及企业的财务承受能力、管理学中对于企业员工的激励以及吸引人才、心理学所探讨的员工心理感受、法学所讨论的企业支付的薪水是否合法合规，具有跨领域性、交叉性和综合性。移动互联网的发展，让薪酬保密越来越不容易，使得企业必须建立在开放、透明与分享的时代做好薪酬管理工作的能力。本课程以设计企业长期有效激励员工的机制为核心，在介绍薪酬管理理论与实践的基础上，结合互联网时代企业战略性薪酬管理的新变化，在专业课程体系中发挥着重要的承前启后的作用。</w:t>
      </w:r>
    </w:p>
    <w:p w14:paraId="17E7C9C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基于《薪酬管理》是人力资源管理中十分关键的基础模块，同时具有很强的理论性以及专业性，更具有实操性和执行性，因此本课程内容包含描绘薪酬管理的核心理论，如职位等级设计、薪酬结构、绩效奖励、员工福利管理、预算、控制与沟通等。通过课堂的讲课以及简单案例的讨论，帮助学生掌握薪酬管理的核心思想。另外，考量到薪酬管理的实操性，本课程通过简单的实操设计，让学生体验薪酬管理的流程、薪酬管理结构的设计、对应不同的岗位设计相对应的薪酬体系。本课程注重学习薪酬管理设计新观念、新技术、新方法，为企业培养高素质的人力资源人员，对学生从事薪酬管理相关活动的能力培养和职业素质的养成起主要支撑或明显促进作用。最后，本课程将结合大数据技术，引导学生获取并分析自己感兴趣职位的市场平均薪酬水平，树立正确的薪酬观念，以促进学生的就业工作。</w:t>
      </w:r>
    </w:p>
    <w:p w14:paraId="4E18307D">
      <w:pPr>
        <w:spacing w:line="360" w:lineRule="auto"/>
        <w:rPr>
          <w:rFonts w:hint="eastAsia" w:ascii="宋体" w:hAnsi="宋体" w:eastAsia="宋体" w:cs="宋体"/>
          <w:sz w:val="24"/>
          <w:szCs w:val="24"/>
        </w:rPr>
      </w:pPr>
      <w:r>
        <w:rPr>
          <w:rFonts w:hint="eastAsia" w:ascii="宋体" w:hAnsi="宋体" w:eastAsia="宋体" w:cs="宋体"/>
          <w:sz w:val="24"/>
          <w:szCs w:val="24"/>
        </w:rPr>
        <w:t>（9）组织行为学</w:t>
      </w:r>
    </w:p>
    <w:p w14:paraId="5879EBF4">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组织行为学综合运用了心理学、社会学、文化人类学、生理学、生物学，还有经济学、政治学等学科有关人的行为的知识与理论，来研究一定组织中的人的行为规律。组织行为学主要以个体、群体/团队以及组织为研究对象，分析他们的心理和行为对个体行为、团队行为和绩效、组织绩效的影响。通过本课程的学习，学生们应该做到：掌握组织行为学相关的概念和理论；了解组织行为学的发展和研究趋势；理解个体差异与型为基础；掌握个体与组织的匹配，个体心理与组织期望、组织结果之间的关系；掌握个体动机与激励的相关理论；了解群体的概念和内涵；掌握领导和领导力相关知识。</w:t>
      </w:r>
    </w:p>
    <w:p w14:paraId="01A5BC8A">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3. 教学进程计划表</w:t>
      </w:r>
    </w:p>
    <w:p w14:paraId="40068DA9">
      <w:pPr>
        <w:spacing w:line="360" w:lineRule="auto"/>
        <w:jc w:val="center"/>
        <w:rPr>
          <w:rFonts w:hint="eastAsia" w:ascii="宋体" w:hAnsi="宋体" w:eastAsia="宋体" w:cs="宋体"/>
          <w:sz w:val="28"/>
          <w:szCs w:val="28"/>
        </w:rPr>
      </w:pPr>
      <w:r>
        <w:rPr>
          <w:rFonts w:hint="eastAsia" w:ascii="宋体" w:hAnsi="宋体" w:eastAsia="宋体" w:cs="宋体"/>
          <w:sz w:val="28"/>
          <w:szCs w:val="28"/>
          <w:u w:val="single"/>
        </w:rPr>
        <w:t xml:space="preserve"> 数字化人力资源管理  </w:t>
      </w:r>
      <w:r>
        <w:rPr>
          <w:rFonts w:hint="eastAsia" w:ascii="宋体" w:hAnsi="宋体" w:eastAsia="宋体" w:cs="宋体"/>
          <w:sz w:val="28"/>
          <w:szCs w:val="28"/>
        </w:rPr>
        <w:t>微专业教学进程计划表</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2491"/>
        <w:gridCol w:w="483"/>
        <w:gridCol w:w="619"/>
        <w:gridCol w:w="999"/>
        <w:gridCol w:w="958"/>
        <w:gridCol w:w="752"/>
        <w:gridCol w:w="757"/>
      </w:tblGrid>
      <w:tr w14:paraId="2279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58" w:type="pct"/>
            <w:vMerge w:val="restart"/>
            <w:vAlign w:val="center"/>
          </w:tcPr>
          <w:p w14:paraId="05314B7A">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课程类别</w:t>
            </w:r>
          </w:p>
        </w:tc>
        <w:tc>
          <w:tcPr>
            <w:tcW w:w="1460" w:type="pct"/>
            <w:vMerge w:val="restart"/>
            <w:vAlign w:val="center"/>
          </w:tcPr>
          <w:p w14:paraId="7F767302">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课程名称</w:t>
            </w:r>
          </w:p>
        </w:tc>
        <w:tc>
          <w:tcPr>
            <w:tcW w:w="283" w:type="pct"/>
            <w:vMerge w:val="restart"/>
            <w:vAlign w:val="center"/>
          </w:tcPr>
          <w:p w14:paraId="19C2EC94">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学分</w:t>
            </w:r>
          </w:p>
        </w:tc>
        <w:tc>
          <w:tcPr>
            <w:tcW w:w="363" w:type="pct"/>
            <w:vMerge w:val="restart"/>
            <w:vAlign w:val="center"/>
          </w:tcPr>
          <w:p w14:paraId="39AC0DED">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总学时</w:t>
            </w:r>
          </w:p>
        </w:tc>
        <w:tc>
          <w:tcPr>
            <w:tcW w:w="1148" w:type="pct"/>
            <w:gridSpan w:val="2"/>
            <w:vAlign w:val="center"/>
          </w:tcPr>
          <w:p w14:paraId="60696A56">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学时分配</w:t>
            </w:r>
          </w:p>
        </w:tc>
        <w:tc>
          <w:tcPr>
            <w:tcW w:w="441" w:type="pct"/>
            <w:vMerge w:val="restart"/>
            <w:vAlign w:val="center"/>
          </w:tcPr>
          <w:p w14:paraId="6FFF5EC9">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开课学期</w:t>
            </w:r>
          </w:p>
        </w:tc>
        <w:tc>
          <w:tcPr>
            <w:tcW w:w="444" w:type="pct"/>
            <w:vMerge w:val="restart"/>
            <w:vAlign w:val="center"/>
          </w:tcPr>
          <w:p w14:paraId="28F18730">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应修学分</w:t>
            </w:r>
          </w:p>
        </w:tc>
      </w:tr>
      <w:tr w14:paraId="26FA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858" w:type="pct"/>
            <w:vMerge w:val="continue"/>
            <w:vAlign w:val="center"/>
          </w:tcPr>
          <w:p w14:paraId="168C40FD">
            <w:pPr>
              <w:spacing w:line="360" w:lineRule="auto"/>
              <w:jc w:val="center"/>
              <w:rPr>
                <w:rFonts w:ascii="仿宋_GB2312" w:hAnsi="仿宋_GB2312" w:eastAsia="仿宋_GB2312" w:cs="仿宋_GB2312"/>
                <w:sz w:val="24"/>
              </w:rPr>
            </w:pPr>
          </w:p>
        </w:tc>
        <w:tc>
          <w:tcPr>
            <w:tcW w:w="1460" w:type="pct"/>
            <w:vMerge w:val="continue"/>
            <w:vAlign w:val="center"/>
          </w:tcPr>
          <w:p w14:paraId="59362F65">
            <w:pPr>
              <w:spacing w:line="360" w:lineRule="auto"/>
              <w:jc w:val="center"/>
              <w:rPr>
                <w:rFonts w:ascii="仿宋_GB2312" w:hAnsi="仿宋_GB2312" w:eastAsia="仿宋_GB2312" w:cs="仿宋_GB2312"/>
                <w:sz w:val="24"/>
              </w:rPr>
            </w:pPr>
          </w:p>
        </w:tc>
        <w:tc>
          <w:tcPr>
            <w:tcW w:w="283" w:type="pct"/>
            <w:vMerge w:val="continue"/>
            <w:vAlign w:val="center"/>
          </w:tcPr>
          <w:p w14:paraId="41D1F49B">
            <w:pPr>
              <w:spacing w:line="360" w:lineRule="auto"/>
              <w:jc w:val="center"/>
              <w:rPr>
                <w:rFonts w:ascii="仿宋_GB2312" w:hAnsi="仿宋_GB2312" w:eastAsia="仿宋_GB2312" w:cs="仿宋_GB2312"/>
                <w:sz w:val="24"/>
              </w:rPr>
            </w:pPr>
          </w:p>
        </w:tc>
        <w:tc>
          <w:tcPr>
            <w:tcW w:w="363" w:type="pct"/>
            <w:vMerge w:val="continue"/>
            <w:vAlign w:val="center"/>
          </w:tcPr>
          <w:p w14:paraId="1CECC619">
            <w:pPr>
              <w:spacing w:line="360" w:lineRule="auto"/>
              <w:jc w:val="center"/>
              <w:rPr>
                <w:rFonts w:ascii="仿宋_GB2312" w:hAnsi="仿宋_GB2312" w:eastAsia="仿宋_GB2312" w:cs="仿宋_GB2312"/>
                <w:sz w:val="24"/>
              </w:rPr>
            </w:pPr>
          </w:p>
        </w:tc>
        <w:tc>
          <w:tcPr>
            <w:tcW w:w="586" w:type="pct"/>
            <w:vAlign w:val="center"/>
          </w:tcPr>
          <w:p w14:paraId="46312B09">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讲授</w:t>
            </w:r>
          </w:p>
        </w:tc>
        <w:tc>
          <w:tcPr>
            <w:tcW w:w="562" w:type="pct"/>
            <w:vAlign w:val="center"/>
          </w:tcPr>
          <w:p w14:paraId="72D65BEB">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实验/实践</w:t>
            </w:r>
          </w:p>
        </w:tc>
        <w:tc>
          <w:tcPr>
            <w:tcW w:w="441" w:type="pct"/>
            <w:vMerge w:val="continue"/>
            <w:vAlign w:val="center"/>
          </w:tcPr>
          <w:p w14:paraId="76142616">
            <w:pPr>
              <w:spacing w:line="360" w:lineRule="auto"/>
              <w:jc w:val="center"/>
              <w:rPr>
                <w:rFonts w:ascii="仿宋_GB2312" w:hAnsi="仿宋_GB2312" w:eastAsia="仿宋_GB2312" w:cs="仿宋_GB2312"/>
                <w:sz w:val="24"/>
              </w:rPr>
            </w:pPr>
          </w:p>
        </w:tc>
        <w:tc>
          <w:tcPr>
            <w:tcW w:w="444" w:type="pct"/>
            <w:vMerge w:val="continue"/>
            <w:vAlign w:val="center"/>
          </w:tcPr>
          <w:p w14:paraId="3FD3E2EC">
            <w:pPr>
              <w:spacing w:line="360" w:lineRule="auto"/>
              <w:jc w:val="center"/>
              <w:rPr>
                <w:rFonts w:ascii="仿宋_GB2312" w:hAnsi="仿宋_GB2312" w:eastAsia="仿宋_GB2312" w:cs="仿宋_GB2312"/>
                <w:sz w:val="24"/>
              </w:rPr>
            </w:pPr>
          </w:p>
        </w:tc>
      </w:tr>
      <w:tr w14:paraId="2302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858" w:type="pct"/>
            <w:vAlign w:val="center"/>
          </w:tcPr>
          <w:p w14:paraId="0192D88C">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3BE172B7">
            <w:pPr>
              <w:spacing w:line="360" w:lineRule="auto"/>
              <w:jc w:val="center"/>
              <w:rPr>
                <w:rFonts w:ascii="仿宋_GB2312" w:hAnsi="仿宋_GB2312" w:eastAsia="仿宋_GB2312" w:cs="仿宋_GB2312"/>
                <w:sz w:val="24"/>
              </w:rPr>
            </w:pPr>
            <w:r>
              <w:rPr>
                <w:rFonts w:hint="eastAsia" w:ascii="Times New Roman" w:hAnsi="Times New Roman" w:eastAsia="仿宋" w:cs="Times New Roman"/>
                <w:sz w:val="24"/>
                <w:highlight w:val="none"/>
                <w:lang w:val="en-US" w:eastAsia="zh-CN"/>
              </w:rPr>
              <w:t>数字化</w:t>
            </w:r>
            <w:r>
              <w:rPr>
                <w:rFonts w:hint="eastAsia" w:ascii="Times New Roman" w:hAnsi="Times New Roman" w:eastAsia="仿宋" w:cs="Times New Roman"/>
                <w:sz w:val="24"/>
                <w:highlight w:val="none"/>
              </w:rPr>
              <w:t>人力资源管理</w:t>
            </w:r>
          </w:p>
        </w:tc>
        <w:tc>
          <w:tcPr>
            <w:tcW w:w="283" w:type="pct"/>
            <w:vAlign w:val="center"/>
          </w:tcPr>
          <w:p w14:paraId="4B078050">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0F67C23D">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451B7260">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sz w:val="24"/>
                <w:highlight w:val="none"/>
              </w:rPr>
              <w:t>32</w:t>
            </w:r>
          </w:p>
        </w:tc>
        <w:tc>
          <w:tcPr>
            <w:tcW w:w="562" w:type="pct"/>
            <w:vAlign w:val="center"/>
          </w:tcPr>
          <w:p w14:paraId="5D930580">
            <w:pPr>
              <w:spacing w:line="360" w:lineRule="auto"/>
              <w:jc w:val="center"/>
              <w:rPr>
                <w:rFonts w:ascii="仿宋_GB2312" w:hAnsi="仿宋_GB2312" w:eastAsia="仿宋_GB2312" w:cs="仿宋_GB2312"/>
                <w:b/>
                <w:bCs/>
                <w:sz w:val="24"/>
              </w:rPr>
            </w:pPr>
          </w:p>
        </w:tc>
        <w:tc>
          <w:tcPr>
            <w:tcW w:w="441" w:type="pct"/>
            <w:vAlign w:val="center"/>
          </w:tcPr>
          <w:p w14:paraId="762CBF53">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444" w:type="pct"/>
            <w:vMerge w:val="restart"/>
            <w:vAlign w:val="center"/>
          </w:tcPr>
          <w:p w14:paraId="5841E177">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17</w:t>
            </w:r>
          </w:p>
        </w:tc>
      </w:tr>
      <w:tr w14:paraId="72B1A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8" w:type="pct"/>
            <w:vAlign w:val="center"/>
          </w:tcPr>
          <w:p w14:paraId="626265DD">
            <w:pPr>
              <w:spacing w:line="360" w:lineRule="auto"/>
              <w:jc w:val="center"/>
              <w:rPr>
                <w:rFonts w:ascii="仿宋_GB2312" w:hAnsi="仿宋_GB2312" w:eastAsia="仿宋_GB2312" w:cs="仿宋_GB2312"/>
                <w:kern w:val="2"/>
                <w:sz w:val="24"/>
                <w:szCs w:val="22"/>
                <w:lang w:val="en-US" w:eastAsia="zh-CN" w:bidi="ar-SA"/>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66825167">
            <w:pPr>
              <w:spacing w:line="360" w:lineRule="auto"/>
              <w:jc w:val="center"/>
              <w:rPr>
                <w:rFonts w:hint="eastAsia" w:ascii="Times New Roman" w:hAnsi="Times New Roman" w:eastAsia="仿宋" w:cs="Times New Roman"/>
                <w:kern w:val="2"/>
                <w:sz w:val="24"/>
                <w:szCs w:val="24"/>
                <w:lang w:val="en-US" w:eastAsia="zh-CN" w:bidi="ar-SA"/>
              </w:rPr>
            </w:pPr>
            <w:r>
              <w:rPr>
                <w:rFonts w:hint="eastAsia" w:ascii="Times New Roman" w:hAnsi="Times New Roman" w:eastAsia="仿宋" w:cs="Times New Roman"/>
                <w:sz w:val="24"/>
                <w:highlight w:val="none"/>
              </w:rPr>
              <w:t>组织行为学</w:t>
            </w:r>
          </w:p>
        </w:tc>
        <w:tc>
          <w:tcPr>
            <w:tcW w:w="283" w:type="pct"/>
            <w:vAlign w:val="center"/>
          </w:tcPr>
          <w:p w14:paraId="76991FE3">
            <w:pPr>
              <w:spacing w:line="360" w:lineRule="auto"/>
              <w:jc w:val="center"/>
              <w:rPr>
                <w:rFonts w:hint="eastAsia" w:ascii="仿宋_GB2312" w:hAnsi="仿宋_GB2312" w:eastAsia="仿宋_GB2312" w:cs="仿宋_GB2312"/>
                <w:kern w:val="2"/>
                <w:sz w:val="24"/>
                <w:szCs w:val="22"/>
                <w:lang w:val="en-US" w:eastAsia="zh-CN" w:bidi="ar-SA"/>
              </w:rPr>
            </w:pPr>
            <w:r>
              <w:rPr>
                <w:rFonts w:hint="eastAsia" w:ascii="仿宋_GB2312" w:hAnsi="仿宋_GB2312" w:eastAsia="仿宋_GB2312" w:cs="仿宋_GB2312"/>
                <w:sz w:val="24"/>
                <w:highlight w:val="none"/>
              </w:rPr>
              <w:t>2</w:t>
            </w:r>
          </w:p>
        </w:tc>
        <w:tc>
          <w:tcPr>
            <w:tcW w:w="363" w:type="pct"/>
            <w:vAlign w:val="center"/>
          </w:tcPr>
          <w:p w14:paraId="3DE3FA25">
            <w:pPr>
              <w:spacing w:line="360" w:lineRule="auto"/>
              <w:jc w:val="center"/>
              <w:rPr>
                <w:rFonts w:hint="eastAsia" w:ascii="仿宋_GB2312" w:hAnsi="仿宋_GB2312" w:eastAsia="仿宋_GB2312" w:cs="仿宋_GB2312"/>
                <w:kern w:val="2"/>
                <w:sz w:val="24"/>
                <w:szCs w:val="22"/>
                <w:lang w:val="en-US" w:eastAsia="zh-CN" w:bidi="ar-SA"/>
              </w:rPr>
            </w:pPr>
            <w:r>
              <w:rPr>
                <w:rFonts w:hint="eastAsia" w:ascii="仿宋_GB2312" w:hAnsi="仿宋_GB2312" w:eastAsia="仿宋_GB2312" w:cs="仿宋_GB2312"/>
                <w:sz w:val="24"/>
                <w:highlight w:val="none"/>
              </w:rPr>
              <w:t>32</w:t>
            </w:r>
          </w:p>
        </w:tc>
        <w:tc>
          <w:tcPr>
            <w:tcW w:w="586" w:type="pct"/>
            <w:vAlign w:val="center"/>
          </w:tcPr>
          <w:p w14:paraId="0167EB2E">
            <w:pPr>
              <w:spacing w:line="360" w:lineRule="auto"/>
              <w:jc w:val="center"/>
              <w:rPr>
                <w:rFonts w:hint="eastAsia" w:ascii="仿宋_GB2312" w:hAnsi="仿宋_GB2312" w:eastAsia="仿宋_GB2312" w:cs="仿宋_GB2312"/>
                <w:b/>
                <w:bCs/>
                <w:kern w:val="2"/>
                <w:sz w:val="24"/>
                <w:szCs w:val="22"/>
                <w:lang w:val="en-US" w:eastAsia="zh-CN" w:bidi="ar-SA"/>
              </w:rPr>
            </w:pPr>
            <w:r>
              <w:rPr>
                <w:rFonts w:hint="eastAsia" w:ascii="仿宋_GB2312" w:hAnsi="仿宋_GB2312" w:eastAsia="仿宋_GB2312" w:cs="仿宋_GB2312"/>
                <w:sz w:val="24"/>
                <w:highlight w:val="none"/>
              </w:rPr>
              <w:t>32</w:t>
            </w:r>
          </w:p>
        </w:tc>
        <w:tc>
          <w:tcPr>
            <w:tcW w:w="562" w:type="pct"/>
            <w:vAlign w:val="center"/>
          </w:tcPr>
          <w:p w14:paraId="198732CF">
            <w:pPr>
              <w:spacing w:line="360" w:lineRule="auto"/>
              <w:jc w:val="center"/>
              <w:rPr>
                <w:rFonts w:ascii="仿宋_GB2312" w:hAnsi="仿宋_GB2312" w:eastAsia="仿宋_GB2312" w:cs="仿宋_GB2312"/>
                <w:b/>
                <w:bCs/>
                <w:kern w:val="2"/>
                <w:sz w:val="24"/>
                <w:szCs w:val="22"/>
                <w:lang w:val="en-US" w:eastAsia="zh-CN" w:bidi="ar-SA"/>
              </w:rPr>
            </w:pPr>
          </w:p>
        </w:tc>
        <w:tc>
          <w:tcPr>
            <w:tcW w:w="441" w:type="pct"/>
            <w:vAlign w:val="center"/>
          </w:tcPr>
          <w:p w14:paraId="51DBEB10">
            <w:pPr>
              <w:spacing w:line="360" w:lineRule="auto"/>
              <w:jc w:val="center"/>
              <w:rPr>
                <w:rFonts w:hint="default" w:ascii="仿宋_GB2312" w:hAnsi="仿宋_GB2312" w:eastAsia="仿宋_GB2312" w:cs="仿宋_GB2312"/>
                <w:kern w:val="2"/>
                <w:sz w:val="24"/>
                <w:szCs w:val="22"/>
                <w:lang w:eastAsia="zh-CN" w:bidi="ar-SA"/>
              </w:rPr>
            </w:pPr>
            <w:r>
              <w:rPr>
                <w:rFonts w:hint="eastAsia" w:ascii="仿宋_GB2312" w:hAnsi="仿宋_GB2312" w:eastAsia="仿宋_GB2312" w:cs="仿宋_GB2312"/>
                <w:sz w:val="24"/>
                <w:szCs w:val="22"/>
                <w:highlight w:val="none"/>
                <w:lang w:val="en-US" w:eastAsia="zh-CN"/>
              </w:rPr>
              <w:t>2</w:t>
            </w:r>
          </w:p>
        </w:tc>
        <w:tc>
          <w:tcPr>
            <w:tcW w:w="444" w:type="pct"/>
            <w:vMerge w:val="continue"/>
            <w:vAlign w:val="center"/>
          </w:tcPr>
          <w:p w14:paraId="200D71A2">
            <w:pPr>
              <w:spacing w:line="360" w:lineRule="auto"/>
              <w:jc w:val="center"/>
              <w:rPr>
                <w:rFonts w:ascii="仿宋_GB2312" w:hAnsi="仿宋_GB2312" w:eastAsia="仿宋_GB2312" w:cs="仿宋_GB2312"/>
                <w:sz w:val="24"/>
              </w:rPr>
            </w:pPr>
          </w:p>
        </w:tc>
      </w:tr>
      <w:tr w14:paraId="2CE7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8" w:type="pct"/>
            <w:vAlign w:val="center"/>
          </w:tcPr>
          <w:p w14:paraId="39873386">
            <w:pPr>
              <w:spacing w:line="360" w:lineRule="auto"/>
              <w:jc w:val="center"/>
              <w:rPr>
                <w:rFonts w:ascii="仿宋_GB2312" w:hAnsi="仿宋_GB2312" w:eastAsia="仿宋_GB2312" w:cs="仿宋_GB2312"/>
                <w:kern w:val="2"/>
                <w:sz w:val="24"/>
                <w:szCs w:val="22"/>
                <w:lang w:val="en-US" w:eastAsia="zh-CN" w:bidi="ar-SA"/>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436FD5EC">
            <w:pPr>
              <w:spacing w:line="360" w:lineRule="auto"/>
              <w:jc w:val="center"/>
              <w:rPr>
                <w:rFonts w:ascii="Times New Roman" w:hAnsi="Times New Roman" w:eastAsia="仿宋" w:cs="Times New Roman"/>
                <w:kern w:val="2"/>
                <w:sz w:val="24"/>
                <w:szCs w:val="24"/>
                <w:lang w:val="en-US" w:eastAsia="zh-CN" w:bidi="ar-SA"/>
              </w:rPr>
            </w:pPr>
            <w:r>
              <w:rPr>
                <w:rFonts w:hint="eastAsia" w:ascii="Times New Roman" w:hAnsi="Times New Roman" w:eastAsia="仿宋" w:cs="Times New Roman"/>
                <w:sz w:val="24"/>
                <w:highlight w:val="none"/>
              </w:rPr>
              <w:t>数字经济概论</w:t>
            </w:r>
          </w:p>
        </w:tc>
        <w:tc>
          <w:tcPr>
            <w:tcW w:w="283" w:type="pct"/>
            <w:vAlign w:val="center"/>
          </w:tcPr>
          <w:p w14:paraId="0D628570">
            <w:pPr>
              <w:spacing w:line="360" w:lineRule="auto"/>
              <w:jc w:val="center"/>
              <w:rPr>
                <w:rFonts w:ascii="仿宋_GB2312" w:hAnsi="仿宋_GB2312" w:eastAsia="仿宋_GB2312" w:cs="仿宋_GB2312"/>
                <w:kern w:val="2"/>
                <w:sz w:val="24"/>
                <w:szCs w:val="22"/>
                <w:lang w:val="en-US" w:eastAsia="zh-CN" w:bidi="ar-SA"/>
              </w:rPr>
            </w:pPr>
            <w:r>
              <w:rPr>
                <w:rFonts w:hint="eastAsia" w:ascii="仿宋_GB2312" w:hAnsi="仿宋_GB2312" w:eastAsia="仿宋_GB2312" w:cs="仿宋_GB2312"/>
                <w:sz w:val="24"/>
                <w:highlight w:val="none"/>
              </w:rPr>
              <w:t>1</w:t>
            </w:r>
          </w:p>
        </w:tc>
        <w:tc>
          <w:tcPr>
            <w:tcW w:w="363" w:type="pct"/>
            <w:vAlign w:val="center"/>
          </w:tcPr>
          <w:p w14:paraId="20BEDBB0">
            <w:pPr>
              <w:spacing w:line="360" w:lineRule="auto"/>
              <w:jc w:val="center"/>
              <w:rPr>
                <w:rFonts w:ascii="仿宋_GB2312" w:hAnsi="仿宋_GB2312" w:eastAsia="仿宋_GB2312" w:cs="仿宋_GB2312"/>
                <w:kern w:val="2"/>
                <w:sz w:val="24"/>
                <w:szCs w:val="22"/>
                <w:lang w:val="en-US" w:eastAsia="zh-CN" w:bidi="ar-SA"/>
              </w:rPr>
            </w:pPr>
            <w:r>
              <w:rPr>
                <w:rFonts w:hint="eastAsia" w:ascii="仿宋_GB2312" w:hAnsi="仿宋_GB2312" w:eastAsia="仿宋_GB2312" w:cs="仿宋_GB2312"/>
                <w:sz w:val="24"/>
                <w:highlight w:val="none"/>
              </w:rPr>
              <w:t>16</w:t>
            </w:r>
          </w:p>
        </w:tc>
        <w:tc>
          <w:tcPr>
            <w:tcW w:w="586" w:type="pct"/>
            <w:vAlign w:val="center"/>
          </w:tcPr>
          <w:p w14:paraId="0E07D2D8">
            <w:pPr>
              <w:spacing w:line="360" w:lineRule="auto"/>
              <w:jc w:val="center"/>
              <w:rPr>
                <w:rFonts w:ascii="仿宋_GB2312" w:hAnsi="仿宋_GB2312" w:eastAsia="仿宋_GB2312" w:cs="仿宋_GB2312"/>
                <w:kern w:val="2"/>
                <w:sz w:val="24"/>
                <w:szCs w:val="22"/>
                <w:lang w:val="en-US" w:eastAsia="zh-CN" w:bidi="ar-SA"/>
              </w:rPr>
            </w:pPr>
            <w:r>
              <w:rPr>
                <w:rFonts w:hint="eastAsia" w:ascii="仿宋_GB2312" w:hAnsi="仿宋_GB2312" w:eastAsia="仿宋_GB2312" w:cs="仿宋_GB2312"/>
                <w:sz w:val="24"/>
                <w:highlight w:val="none"/>
              </w:rPr>
              <w:t>16</w:t>
            </w:r>
          </w:p>
        </w:tc>
        <w:tc>
          <w:tcPr>
            <w:tcW w:w="562" w:type="pct"/>
            <w:vAlign w:val="center"/>
          </w:tcPr>
          <w:p w14:paraId="3E857E4B">
            <w:pPr>
              <w:spacing w:line="360" w:lineRule="auto"/>
              <w:jc w:val="center"/>
              <w:rPr>
                <w:rFonts w:ascii="仿宋_GB2312" w:hAnsi="仿宋_GB2312" w:eastAsia="仿宋_GB2312" w:cs="仿宋_GB2312"/>
                <w:b/>
                <w:bCs/>
                <w:kern w:val="2"/>
                <w:sz w:val="24"/>
                <w:szCs w:val="22"/>
                <w:lang w:val="en-US" w:eastAsia="zh-CN" w:bidi="ar-SA"/>
              </w:rPr>
            </w:pPr>
          </w:p>
        </w:tc>
        <w:tc>
          <w:tcPr>
            <w:tcW w:w="441" w:type="pct"/>
            <w:vAlign w:val="center"/>
          </w:tcPr>
          <w:p w14:paraId="5FD52A98">
            <w:pPr>
              <w:spacing w:line="360" w:lineRule="auto"/>
              <w:jc w:val="center"/>
              <w:rPr>
                <w:rFonts w:hint="default" w:ascii="仿宋_GB2312" w:hAnsi="仿宋_GB2312" w:eastAsia="仿宋_GB2312" w:cs="仿宋_GB2312"/>
                <w:kern w:val="2"/>
                <w:sz w:val="24"/>
                <w:szCs w:val="22"/>
                <w:lang w:eastAsia="zh-CN" w:bidi="ar-SA"/>
              </w:rPr>
            </w:pPr>
            <w:r>
              <w:rPr>
                <w:rFonts w:hint="eastAsia" w:ascii="仿宋_GB2312" w:hAnsi="仿宋_GB2312" w:eastAsia="仿宋_GB2312" w:cs="仿宋_GB2312"/>
                <w:sz w:val="24"/>
                <w:szCs w:val="22"/>
                <w:highlight w:val="none"/>
                <w:lang w:val="en-US" w:eastAsia="zh-CN"/>
              </w:rPr>
              <w:t>2</w:t>
            </w:r>
          </w:p>
        </w:tc>
        <w:tc>
          <w:tcPr>
            <w:tcW w:w="444" w:type="pct"/>
            <w:vMerge w:val="continue"/>
            <w:vAlign w:val="center"/>
          </w:tcPr>
          <w:p w14:paraId="79B8614D">
            <w:pPr>
              <w:spacing w:line="360" w:lineRule="auto"/>
              <w:jc w:val="center"/>
              <w:rPr>
                <w:rFonts w:ascii="仿宋_GB2312" w:hAnsi="仿宋_GB2312" w:eastAsia="仿宋_GB2312" w:cs="仿宋_GB2312"/>
                <w:sz w:val="24"/>
              </w:rPr>
            </w:pPr>
          </w:p>
        </w:tc>
      </w:tr>
      <w:tr w14:paraId="4CB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58" w:type="pct"/>
            <w:vAlign w:val="center"/>
          </w:tcPr>
          <w:p w14:paraId="63BAB2D2">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02876818">
            <w:pPr>
              <w:spacing w:line="360" w:lineRule="auto"/>
              <w:jc w:val="center"/>
              <w:rPr>
                <w:rFonts w:ascii="Times New Roman" w:hAnsi="Times New Roman" w:eastAsia="仿宋" w:cs="Times New Roman"/>
                <w:sz w:val="24"/>
                <w:szCs w:val="24"/>
              </w:rPr>
            </w:pPr>
            <w:r>
              <w:rPr>
                <w:rFonts w:hint="eastAsia" w:ascii="Times New Roman" w:hAnsi="Times New Roman" w:eastAsia="仿宋" w:cs="Times New Roman"/>
                <w:sz w:val="24"/>
                <w:highlight w:val="none"/>
              </w:rPr>
              <w:t>员工招聘</w:t>
            </w:r>
            <w:bookmarkStart w:id="2" w:name="_GoBack"/>
            <w:bookmarkEnd w:id="2"/>
          </w:p>
        </w:tc>
        <w:tc>
          <w:tcPr>
            <w:tcW w:w="283" w:type="pct"/>
            <w:vAlign w:val="center"/>
          </w:tcPr>
          <w:p w14:paraId="6BCC0B5C">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6E8BA454">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60D8E357">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62" w:type="pct"/>
            <w:vAlign w:val="center"/>
          </w:tcPr>
          <w:p w14:paraId="2AC3EB15">
            <w:pPr>
              <w:spacing w:line="360" w:lineRule="auto"/>
              <w:jc w:val="center"/>
              <w:rPr>
                <w:rFonts w:ascii="仿宋_GB2312" w:hAnsi="仿宋_GB2312" w:eastAsia="仿宋_GB2312" w:cs="仿宋_GB2312"/>
                <w:b/>
                <w:bCs/>
                <w:sz w:val="24"/>
              </w:rPr>
            </w:pPr>
          </w:p>
        </w:tc>
        <w:tc>
          <w:tcPr>
            <w:tcW w:w="441" w:type="pct"/>
            <w:vAlign w:val="center"/>
          </w:tcPr>
          <w:p w14:paraId="67ABED04">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3</w:t>
            </w:r>
          </w:p>
        </w:tc>
        <w:tc>
          <w:tcPr>
            <w:tcW w:w="444" w:type="pct"/>
            <w:vMerge w:val="continue"/>
            <w:vAlign w:val="center"/>
          </w:tcPr>
          <w:p w14:paraId="3E955AD3">
            <w:pPr>
              <w:spacing w:line="360" w:lineRule="auto"/>
              <w:jc w:val="center"/>
              <w:rPr>
                <w:rFonts w:ascii="仿宋_GB2312" w:hAnsi="仿宋_GB2312" w:eastAsia="仿宋_GB2312" w:cs="仿宋_GB2312"/>
                <w:sz w:val="24"/>
              </w:rPr>
            </w:pPr>
          </w:p>
        </w:tc>
      </w:tr>
      <w:tr w14:paraId="6B8C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58" w:type="pct"/>
            <w:vAlign w:val="center"/>
          </w:tcPr>
          <w:p w14:paraId="77B695FA">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659B24E3">
            <w:pPr>
              <w:spacing w:line="360" w:lineRule="auto"/>
              <w:jc w:val="center"/>
              <w:rPr>
                <w:rFonts w:ascii="仿宋_GB2312" w:hAnsi="仿宋_GB2312" w:eastAsia="仿宋_GB2312" w:cs="仿宋_GB2312"/>
                <w:sz w:val="24"/>
              </w:rPr>
            </w:pPr>
            <w:r>
              <w:rPr>
                <w:rFonts w:hint="eastAsia" w:ascii="Times New Roman" w:hAnsi="Times New Roman" w:eastAsia="仿宋" w:cs="Times New Roman"/>
                <w:sz w:val="24"/>
                <w:highlight w:val="none"/>
              </w:rPr>
              <w:t>培训与开发</w:t>
            </w:r>
          </w:p>
        </w:tc>
        <w:tc>
          <w:tcPr>
            <w:tcW w:w="283" w:type="pct"/>
            <w:vAlign w:val="center"/>
          </w:tcPr>
          <w:p w14:paraId="534E68E5">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3BB1C177">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2C7E0281">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sz w:val="24"/>
                <w:highlight w:val="none"/>
              </w:rPr>
              <w:t>32</w:t>
            </w:r>
          </w:p>
        </w:tc>
        <w:tc>
          <w:tcPr>
            <w:tcW w:w="562" w:type="pct"/>
            <w:vAlign w:val="center"/>
          </w:tcPr>
          <w:p w14:paraId="726D17D5">
            <w:pPr>
              <w:spacing w:line="360" w:lineRule="auto"/>
              <w:jc w:val="center"/>
              <w:rPr>
                <w:rFonts w:ascii="仿宋_GB2312" w:hAnsi="仿宋_GB2312" w:eastAsia="仿宋_GB2312" w:cs="仿宋_GB2312"/>
                <w:b/>
                <w:bCs/>
                <w:sz w:val="24"/>
              </w:rPr>
            </w:pPr>
          </w:p>
        </w:tc>
        <w:tc>
          <w:tcPr>
            <w:tcW w:w="441" w:type="pct"/>
            <w:vAlign w:val="center"/>
          </w:tcPr>
          <w:p w14:paraId="293DCF0D">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3</w:t>
            </w:r>
          </w:p>
        </w:tc>
        <w:tc>
          <w:tcPr>
            <w:tcW w:w="444" w:type="pct"/>
            <w:vMerge w:val="continue"/>
            <w:vAlign w:val="center"/>
          </w:tcPr>
          <w:p w14:paraId="591CF948">
            <w:pPr>
              <w:spacing w:line="360" w:lineRule="auto"/>
              <w:jc w:val="center"/>
              <w:rPr>
                <w:rFonts w:ascii="仿宋_GB2312" w:hAnsi="仿宋_GB2312" w:eastAsia="仿宋_GB2312" w:cs="仿宋_GB2312"/>
                <w:sz w:val="24"/>
              </w:rPr>
            </w:pPr>
          </w:p>
        </w:tc>
      </w:tr>
      <w:tr w14:paraId="0DB1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858" w:type="pct"/>
            <w:vAlign w:val="center"/>
          </w:tcPr>
          <w:p w14:paraId="30D6FF68">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1D81E9B4">
            <w:pPr>
              <w:spacing w:line="360" w:lineRule="auto"/>
              <w:jc w:val="center"/>
              <w:rPr>
                <w:rFonts w:ascii="仿宋_GB2312" w:hAnsi="仿宋_GB2312" w:eastAsia="仿宋_GB2312" w:cs="仿宋_GB2312"/>
                <w:sz w:val="24"/>
              </w:rPr>
            </w:pPr>
            <w:r>
              <w:rPr>
                <w:rFonts w:hint="eastAsia" w:ascii="Times New Roman" w:hAnsi="Times New Roman" w:eastAsia="仿宋" w:cs="Times New Roman"/>
                <w:sz w:val="24"/>
                <w:highlight w:val="none"/>
              </w:rPr>
              <w:t>绩效管理</w:t>
            </w:r>
          </w:p>
        </w:tc>
        <w:tc>
          <w:tcPr>
            <w:tcW w:w="283" w:type="pct"/>
            <w:vAlign w:val="center"/>
          </w:tcPr>
          <w:p w14:paraId="1BA1CF15">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18073803">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192DE740">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sz w:val="24"/>
                <w:highlight w:val="none"/>
              </w:rPr>
              <w:t>32</w:t>
            </w:r>
          </w:p>
        </w:tc>
        <w:tc>
          <w:tcPr>
            <w:tcW w:w="562" w:type="pct"/>
            <w:vAlign w:val="center"/>
          </w:tcPr>
          <w:p w14:paraId="4E1FC7FA">
            <w:pPr>
              <w:spacing w:line="360" w:lineRule="auto"/>
              <w:jc w:val="center"/>
              <w:rPr>
                <w:rFonts w:ascii="仿宋_GB2312" w:hAnsi="仿宋_GB2312" w:eastAsia="仿宋_GB2312" w:cs="仿宋_GB2312"/>
                <w:b/>
                <w:bCs/>
                <w:sz w:val="24"/>
              </w:rPr>
            </w:pPr>
          </w:p>
        </w:tc>
        <w:tc>
          <w:tcPr>
            <w:tcW w:w="441" w:type="pct"/>
            <w:vAlign w:val="center"/>
          </w:tcPr>
          <w:p w14:paraId="521019E0">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3</w:t>
            </w:r>
          </w:p>
        </w:tc>
        <w:tc>
          <w:tcPr>
            <w:tcW w:w="444" w:type="pct"/>
            <w:vMerge w:val="continue"/>
            <w:vAlign w:val="center"/>
          </w:tcPr>
          <w:p w14:paraId="68EF11EE">
            <w:pPr>
              <w:spacing w:line="360" w:lineRule="auto"/>
              <w:jc w:val="center"/>
              <w:rPr>
                <w:rFonts w:ascii="仿宋_GB2312" w:hAnsi="仿宋_GB2312" w:eastAsia="仿宋_GB2312" w:cs="仿宋_GB2312"/>
                <w:sz w:val="24"/>
              </w:rPr>
            </w:pPr>
          </w:p>
        </w:tc>
      </w:tr>
      <w:tr w14:paraId="1E94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858" w:type="pct"/>
            <w:vAlign w:val="center"/>
          </w:tcPr>
          <w:p w14:paraId="0D0032BC">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499A3DCE">
            <w:pPr>
              <w:spacing w:line="360" w:lineRule="auto"/>
              <w:jc w:val="center"/>
              <w:rPr>
                <w:rFonts w:hint="eastAsia" w:ascii="Times New Roman" w:hAnsi="Times New Roman" w:eastAsia="仿宋" w:cs="Times New Roman"/>
                <w:sz w:val="24"/>
                <w:szCs w:val="24"/>
              </w:rPr>
            </w:pPr>
            <w:r>
              <w:rPr>
                <w:rFonts w:hint="eastAsia" w:ascii="Times New Roman" w:hAnsi="Times New Roman" w:eastAsia="仿宋" w:cs="Times New Roman"/>
                <w:sz w:val="24"/>
                <w:highlight w:val="none"/>
              </w:rPr>
              <w:t>薪酬管理</w:t>
            </w:r>
          </w:p>
        </w:tc>
        <w:tc>
          <w:tcPr>
            <w:tcW w:w="283" w:type="pct"/>
            <w:vAlign w:val="center"/>
          </w:tcPr>
          <w:p w14:paraId="0EA30ECD">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422ACB24">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479A3D95">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62" w:type="pct"/>
            <w:vAlign w:val="center"/>
          </w:tcPr>
          <w:p w14:paraId="61B4C730">
            <w:pPr>
              <w:spacing w:line="360" w:lineRule="auto"/>
              <w:jc w:val="center"/>
              <w:rPr>
                <w:rFonts w:ascii="仿宋_GB2312" w:hAnsi="仿宋_GB2312" w:eastAsia="仿宋_GB2312" w:cs="仿宋_GB2312"/>
                <w:b/>
                <w:bCs/>
                <w:sz w:val="24"/>
              </w:rPr>
            </w:pPr>
          </w:p>
        </w:tc>
        <w:tc>
          <w:tcPr>
            <w:tcW w:w="441" w:type="pct"/>
            <w:vAlign w:val="center"/>
          </w:tcPr>
          <w:p w14:paraId="7AB64A92">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3</w:t>
            </w:r>
          </w:p>
        </w:tc>
        <w:tc>
          <w:tcPr>
            <w:tcW w:w="444" w:type="pct"/>
            <w:vMerge w:val="continue"/>
            <w:vAlign w:val="center"/>
          </w:tcPr>
          <w:p w14:paraId="688AAB9C">
            <w:pPr>
              <w:spacing w:line="360" w:lineRule="auto"/>
              <w:jc w:val="center"/>
              <w:rPr>
                <w:rFonts w:ascii="仿宋_GB2312" w:hAnsi="仿宋_GB2312" w:eastAsia="仿宋_GB2312" w:cs="仿宋_GB2312"/>
                <w:sz w:val="24"/>
              </w:rPr>
            </w:pPr>
          </w:p>
        </w:tc>
      </w:tr>
      <w:tr w14:paraId="0EB4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8" w:type="pct"/>
            <w:vAlign w:val="center"/>
          </w:tcPr>
          <w:p w14:paraId="7EFEF6D7">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658C2E98">
            <w:pPr>
              <w:spacing w:line="360" w:lineRule="auto"/>
              <w:jc w:val="center"/>
              <w:rPr>
                <w:rFonts w:ascii="Times New Roman" w:hAnsi="Times New Roman" w:eastAsia="仿宋" w:cs="Times New Roman"/>
                <w:sz w:val="24"/>
                <w:szCs w:val="24"/>
              </w:rPr>
            </w:pPr>
            <w:r>
              <w:rPr>
                <w:rFonts w:hint="eastAsia" w:ascii="Times New Roman" w:hAnsi="Times New Roman" w:eastAsia="仿宋" w:cs="Times New Roman"/>
                <w:sz w:val="24"/>
                <w:highlight w:val="none"/>
              </w:rPr>
              <w:t>数字化运营</w:t>
            </w:r>
          </w:p>
        </w:tc>
        <w:tc>
          <w:tcPr>
            <w:tcW w:w="283" w:type="pct"/>
            <w:vAlign w:val="center"/>
          </w:tcPr>
          <w:p w14:paraId="4363F263">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07189169">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4BE3FE64">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62" w:type="pct"/>
            <w:vAlign w:val="center"/>
          </w:tcPr>
          <w:p w14:paraId="1995009E">
            <w:pPr>
              <w:spacing w:line="360" w:lineRule="auto"/>
              <w:jc w:val="center"/>
              <w:rPr>
                <w:rFonts w:ascii="仿宋_GB2312" w:hAnsi="仿宋_GB2312" w:eastAsia="仿宋_GB2312" w:cs="仿宋_GB2312"/>
                <w:b/>
                <w:bCs/>
                <w:sz w:val="24"/>
              </w:rPr>
            </w:pPr>
          </w:p>
        </w:tc>
        <w:tc>
          <w:tcPr>
            <w:tcW w:w="441" w:type="pct"/>
            <w:vAlign w:val="center"/>
          </w:tcPr>
          <w:p w14:paraId="7D3AB9D5">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4</w:t>
            </w:r>
          </w:p>
        </w:tc>
        <w:tc>
          <w:tcPr>
            <w:tcW w:w="444" w:type="pct"/>
            <w:vMerge w:val="continue"/>
            <w:vAlign w:val="center"/>
          </w:tcPr>
          <w:p w14:paraId="3BC6E44D">
            <w:pPr>
              <w:spacing w:line="360" w:lineRule="auto"/>
              <w:jc w:val="center"/>
              <w:rPr>
                <w:rFonts w:ascii="仿宋_GB2312" w:hAnsi="仿宋_GB2312" w:eastAsia="仿宋_GB2312" w:cs="仿宋_GB2312"/>
                <w:sz w:val="24"/>
              </w:rPr>
            </w:pPr>
          </w:p>
        </w:tc>
      </w:tr>
      <w:tr w14:paraId="36CD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58" w:type="pct"/>
            <w:vAlign w:val="center"/>
          </w:tcPr>
          <w:p w14:paraId="0CAB24E4">
            <w:pPr>
              <w:spacing w:line="360" w:lineRule="auto"/>
              <w:jc w:val="center"/>
              <w:rPr>
                <w:rFonts w:ascii="仿宋_GB2312" w:hAnsi="仿宋_GB2312" w:eastAsia="仿宋_GB2312" w:cs="仿宋_GB2312"/>
                <w:sz w:val="24"/>
              </w:rPr>
            </w:pPr>
            <w:r>
              <w:rPr>
                <w:rFonts w:ascii="仿宋_GB2312" w:hAnsi="仿宋_GB2312" w:eastAsia="仿宋_GB2312" w:cs="仿宋_GB2312"/>
                <w:sz w:val="24"/>
              </w:rPr>
              <w:t>专业</w:t>
            </w:r>
            <w:r>
              <w:rPr>
                <w:rFonts w:hint="eastAsia" w:ascii="仿宋_GB2312" w:hAnsi="仿宋_GB2312" w:eastAsia="仿宋_GB2312" w:cs="仿宋_GB2312"/>
                <w:sz w:val="24"/>
              </w:rPr>
              <w:t>必修课</w:t>
            </w:r>
          </w:p>
        </w:tc>
        <w:tc>
          <w:tcPr>
            <w:tcW w:w="1460" w:type="pct"/>
            <w:vAlign w:val="center"/>
          </w:tcPr>
          <w:p w14:paraId="6FCA9C4C">
            <w:pPr>
              <w:spacing w:line="360" w:lineRule="auto"/>
              <w:jc w:val="center"/>
              <w:rPr>
                <w:rFonts w:hint="eastAsia" w:ascii="Times New Roman" w:hAnsi="Times New Roman" w:eastAsia="仿宋" w:cs="Times New Roman"/>
                <w:sz w:val="24"/>
                <w:szCs w:val="24"/>
              </w:rPr>
            </w:pPr>
            <w:r>
              <w:rPr>
                <w:rFonts w:hint="eastAsia" w:ascii="Times New Roman" w:hAnsi="Times New Roman" w:eastAsia="仿宋" w:cs="Times New Roman"/>
                <w:sz w:val="24"/>
                <w:highlight w:val="none"/>
              </w:rPr>
              <w:t>人力资源</w:t>
            </w:r>
            <w:r>
              <w:rPr>
                <w:rFonts w:hint="eastAsia" w:ascii="Times New Roman" w:hAnsi="Times New Roman" w:eastAsia="仿宋" w:cs="Times New Roman"/>
                <w:sz w:val="24"/>
                <w:highlight w:val="none"/>
                <w:lang w:val="en-US" w:eastAsia="zh-CN"/>
              </w:rPr>
              <w:t>大数据</w:t>
            </w:r>
            <w:r>
              <w:rPr>
                <w:rFonts w:hint="eastAsia" w:ascii="Times New Roman" w:hAnsi="Times New Roman" w:eastAsia="仿宋" w:cs="Times New Roman"/>
                <w:sz w:val="24"/>
                <w:highlight w:val="none"/>
              </w:rPr>
              <w:t>分析</w:t>
            </w:r>
          </w:p>
        </w:tc>
        <w:tc>
          <w:tcPr>
            <w:tcW w:w="283" w:type="pct"/>
            <w:vAlign w:val="center"/>
          </w:tcPr>
          <w:p w14:paraId="36D27BDA">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2</w:t>
            </w:r>
          </w:p>
        </w:tc>
        <w:tc>
          <w:tcPr>
            <w:tcW w:w="363" w:type="pct"/>
            <w:vAlign w:val="center"/>
          </w:tcPr>
          <w:p w14:paraId="6555466A">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86" w:type="pct"/>
            <w:vAlign w:val="center"/>
          </w:tcPr>
          <w:p w14:paraId="7C3BCAC3">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highlight w:val="none"/>
              </w:rPr>
              <w:t>32</w:t>
            </w:r>
          </w:p>
        </w:tc>
        <w:tc>
          <w:tcPr>
            <w:tcW w:w="562" w:type="pct"/>
            <w:vAlign w:val="center"/>
          </w:tcPr>
          <w:p w14:paraId="3694ED55">
            <w:pPr>
              <w:spacing w:line="360" w:lineRule="auto"/>
              <w:jc w:val="center"/>
              <w:rPr>
                <w:rFonts w:ascii="仿宋_GB2312" w:hAnsi="仿宋_GB2312" w:eastAsia="仿宋_GB2312" w:cs="仿宋_GB2312"/>
                <w:b/>
                <w:bCs/>
                <w:sz w:val="24"/>
              </w:rPr>
            </w:pPr>
          </w:p>
        </w:tc>
        <w:tc>
          <w:tcPr>
            <w:tcW w:w="441" w:type="pct"/>
            <w:vAlign w:val="center"/>
          </w:tcPr>
          <w:p w14:paraId="021299CE">
            <w:pPr>
              <w:spacing w:line="360" w:lineRule="auto"/>
              <w:jc w:val="center"/>
              <w:rPr>
                <w:rFonts w:hint="default" w:ascii="仿宋_GB2312" w:hAnsi="仿宋_GB2312" w:eastAsia="仿宋_GB2312" w:cs="仿宋_GB2312"/>
                <w:sz w:val="24"/>
              </w:rPr>
            </w:pPr>
            <w:r>
              <w:rPr>
                <w:rFonts w:hint="eastAsia" w:ascii="仿宋_GB2312" w:hAnsi="仿宋_GB2312" w:eastAsia="仿宋_GB2312" w:cs="仿宋_GB2312"/>
                <w:sz w:val="24"/>
                <w:highlight w:val="none"/>
                <w:lang w:val="en-US" w:eastAsia="zh-CN"/>
              </w:rPr>
              <w:t>4</w:t>
            </w:r>
          </w:p>
        </w:tc>
        <w:tc>
          <w:tcPr>
            <w:tcW w:w="444" w:type="pct"/>
            <w:vAlign w:val="center"/>
          </w:tcPr>
          <w:p w14:paraId="64E2B0D2">
            <w:pPr>
              <w:spacing w:line="360" w:lineRule="auto"/>
              <w:jc w:val="center"/>
              <w:rPr>
                <w:rFonts w:ascii="仿宋_GB2312" w:hAnsi="仿宋_GB2312" w:eastAsia="仿宋_GB2312" w:cs="仿宋_GB2312"/>
                <w:sz w:val="24"/>
              </w:rPr>
            </w:pPr>
          </w:p>
        </w:tc>
      </w:tr>
      <w:tr w14:paraId="795BE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2319" w:type="pct"/>
            <w:gridSpan w:val="2"/>
            <w:vAlign w:val="center"/>
          </w:tcPr>
          <w:p w14:paraId="347A0B93">
            <w:pPr>
              <w:spacing w:line="360" w:lineRule="auto"/>
              <w:jc w:val="center"/>
              <w:rPr>
                <w:rFonts w:ascii="仿宋_GB2312" w:hAnsi="仿宋_GB2312" w:eastAsia="仿宋_GB2312" w:cs="仿宋_GB2312"/>
                <w:sz w:val="24"/>
              </w:rPr>
            </w:pPr>
            <w:r>
              <w:rPr>
                <w:rFonts w:hint="eastAsia" w:ascii="仿宋_GB2312" w:hAnsi="仿宋_GB2312" w:eastAsia="仿宋_GB2312" w:cs="仿宋_GB2312"/>
                <w:b/>
                <w:bCs/>
                <w:sz w:val="24"/>
              </w:rPr>
              <w:t>总计</w:t>
            </w:r>
          </w:p>
        </w:tc>
        <w:tc>
          <w:tcPr>
            <w:tcW w:w="283" w:type="pct"/>
            <w:vAlign w:val="center"/>
          </w:tcPr>
          <w:p w14:paraId="669BC29A">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17</w:t>
            </w:r>
          </w:p>
        </w:tc>
        <w:tc>
          <w:tcPr>
            <w:tcW w:w="363" w:type="pct"/>
            <w:vAlign w:val="center"/>
          </w:tcPr>
          <w:p w14:paraId="65034BAF">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272</w:t>
            </w:r>
          </w:p>
        </w:tc>
        <w:tc>
          <w:tcPr>
            <w:tcW w:w="586" w:type="pct"/>
            <w:vAlign w:val="center"/>
          </w:tcPr>
          <w:p w14:paraId="6831DA4E">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272</w:t>
            </w:r>
          </w:p>
        </w:tc>
        <w:tc>
          <w:tcPr>
            <w:tcW w:w="562" w:type="pct"/>
            <w:vAlign w:val="center"/>
          </w:tcPr>
          <w:p w14:paraId="1000D292">
            <w:pPr>
              <w:spacing w:line="360" w:lineRule="auto"/>
              <w:jc w:val="center"/>
              <w:rPr>
                <w:rFonts w:ascii="仿宋_GB2312" w:hAnsi="仿宋_GB2312" w:eastAsia="仿宋_GB2312" w:cs="仿宋_GB2312"/>
                <w:b/>
                <w:bCs/>
                <w:sz w:val="24"/>
              </w:rPr>
            </w:pPr>
          </w:p>
        </w:tc>
        <w:tc>
          <w:tcPr>
            <w:tcW w:w="441" w:type="pct"/>
            <w:vAlign w:val="center"/>
          </w:tcPr>
          <w:p w14:paraId="00D989CF">
            <w:pPr>
              <w:spacing w:line="360" w:lineRule="auto"/>
              <w:jc w:val="center"/>
              <w:rPr>
                <w:rFonts w:ascii="仿宋_GB2312" w:hAnsi="仿宋_GB2312" w:eastAsia="仿宋_GB2312" w:cs="仿宋_GB2312"/>
                <w:sz w:val="24"/>
              </w:rPr>
            </w:pPr>
          </w:p>
        </w:tc>
        <w:tc>
          <w:tcPr>
            <w:tcW w:w="444" w:type="pct"/>
            <w:vAlign w:val="center"/>
          </w:tcPr>
          <w:p w14:paraId="17B04D16">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17</w:t>
            </w:r>
          </w:p>
        </w:tc>
      </w:tr>
    </w:tbl>
    <w:p w14:paraId="04F69513">
      <w:pPr>
        <w:spacing w:line="360" w:lineRule="auto"/>
        <w:rPr>
          <w:rFonts w:ascii="Times New Roman" w:hAnsi="Times New Roman" w:eastAsia="仿宋"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ZTYxN2ZkM2YyMWZhYjQ1ODQ1YTAzY2E1MDA4MTEifQ=="/>
  </w:docVars>
  <w:rsids>
    <w:rsidRoot w:val="0063512B"/>
    <w:rsid w:val="00035056"/>
    <w:rsid w:val="00053FB7"/>
    <w:rsid w:val="00065EF2"/>
    <w:rsid w:val="0007286D"/>
    <w:rsid w:val="000E4347"/>
    <w:rsid w:val="00123D2E"/>
    <w:rsid w:val="001316B4"/>
    <w:rsid w:val="00146F62"/>
    <w:rsid w:val="001A7E38"/>
    <w:rsid w:val="00224FEA"/>
    <w:rsid w:val="00237DD3"/>
    <w:rsid w:val="002429D8"/>
    <w:rsid w:val="002B495E"/>
    <w:rsid w:val="002C16D7"/>
    <w:rsid w:val="002C78DC"/>
    <w:rsid w:val="00352EEE"/>
    <w:rsid w:val="00355659"/>
    <w:rsid w:val="003705D9"/>
    <w:rsid w:val="00371366"/>
    <w:rsid w:val="0037466E"/>
    <w:rsid w:val="00380108"/>
    <w:rsid w:val="00394AAF"/>
    <w:rsid w:val="00394D75"/>
    <w:rsid w:val="003B69BB"/>
    <w:rsid w:val="003B7BD2"/>
    <w:rsid w:val="00405BE0"/>
    <w:rsid w:val="0041594F"/>
    <w:rsid w:val="00422371"/>
    <w:rsid w:val="004349C4"/>
    <w:rsid w:val="00462B76"/>
    <w:rsid w:val="0056277E"/>
    <w:rsid w:val="005673FA"/>
    <w:rsid w:val="005B588D"/>
    <w:rsid w:val="005C27BD"/>
    <w:rsid w:val="005D4876"/>
    <w:rsid w:val="005E4D4B"/>
    <w:rsid w:val="00602901"/>
    <w:rsid w:val="00607FBF"/>
    <w:rsid w:val="00623411"/>
    <w:rsid w:val="00627756"/>
    <w:rsid w:val="0063512B"/>
    <w:rsid w:val="00685FB2"/>
    <w:rsid w:val="006A297B"/>
    <w:rsid w:val="0074147D"/>
    <w:rsid w:val="007449C0"/>
    <w:rsid w:val="00745926"/>
    <w:rsid w:val="007A36A1"/>
    <w:rsid w:val="007B67CB"/>
    <w:rsid w:val="007F733A"/>
    <w:rsid w:val="008063B7"/>
    <w:rsid w:val="00810A3E"/>
    <w:rsid w:val="00823CB3"/>
    <w:rsid w:val="008243C8"/>
    <w:rsid w:val="008323B9"/>
    <w:rsid w:val="0084330A"/>
    <w:rsid w:val="00862675"/>
    <w:rsid w:val="00874FE4"/>
    <w:rsid w:val="008853B2"/>
    <w:rsid w:val="008A7DA8"/>
    <w:rsid w:val="008C0402"/>
    <w:rsid w:val="008C463D"/>
    <w:rsid w:val="00901D1C"/>
    <w:rsid w:val="00955C5B"/>
    <w:rsid w:val="0097726A"/>
    <w:rsid w:val="009B3DA7"/>
    <w:rsid w:val="009C2784"/>
    <w:rsid w:val="00A116EE"/>
    <w:rsid w:val="00A214B8"/>
    <w:rsid w:val="00A34BA9"/>
    <w:rsid w:val="00A51E16"/>
    <w:rsid w:val="00A651B2"/>
    <w:rsid w:val="00A7170A"/>
    <w:rsid w:val="00A71F5D"/>
    <w:rsid w:val="00AA6E7A"/>
    <w:rsid w:val="00AD28C5"/>
    <w:rsid w:val="00AD4513"/>
    <w:rsid w:val="00B2244A"/>
    <w:rsid w:val="00B41EBF"/>
    <w:rsid w:val="00B65626"/>
    <w:rsid w:val="00B73E6E"/>
    <w:rsid w:val="00B81A63"/>
    <w:rsid w:val="00BC5D18"/>
    <w:rsid w:val="00BE2CCF"/>
    <w:rsid w:val="00C13C78"/>
    <w:rsid w:val="00C16BEC"/>
    <w:rsid w:val="00C735AF"/>
    <w:rsid w:val="00C86EDA"/>
    <w:rsid w:val="00CD330B"/>
    <w:rsid w:val="00CE22C8"/>
    <w:rsid w:val="00CE6460"/>
    <w:rsid w:val="00CF75B4"/>
    <w:rsid w:val="00DE1F39"/>
    <w:rsid w:val="00DF338D"/>
    <w:rsid w:val="00E214FF"/>
    <w:rsid w:val="00E22AAC"/>
    <w:rsid w:val="00E87068"/>
    <w:rsid w:val="00E96020"/>
    <w:rsid w:val="00EA0388"/>
    <w:rsid w:val="00EB4359"/>
    <w:rsid w:val="00F47762"/>
    <w:rsid w:val="00F81A74"/>
    <w:rsid w:val="00F96FBC"/>
    <w:rsid w:val="00FB3AD2"/>
    <w:rsid w:val="00FD0856"/>
    <w:rsid w:val="00FD7A27"/>
    <w:rsid w:val="0759055E"/>
    <w:rsid w:val="0F8D1508"/>
    <w:rsid w:val="0FDA3123"/>
    <w:rsid w:val="1CC304A8"/>
    <w:rsid w:val="2C4F6B62"/>
    <w:rsid w:val="3BFDEFF1"/>
    <w:rsid w:val="3DFE2823"/>
    <w:rsid w:val="3F9B42C9"/>
    <w:rsid w:val="5A116F31"/>
    <w:rsid w:val="5CFE3C26"/>
    <w:rsid w:val="7EB203D9"/>
    <w:rsid w:val="7FFF3316"/>
    <w:rsid w:val="F7CF6B0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2"/>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批注文字 字符"/>
    <w:basedOn w:val="9"/>
    <w:link w:val="2"/>
    <w:semiHidden/>
    <w:qFormat/>
    <w:uiPriority w:val="99"/>
  </w:style>
  <w:style w:type="character" w:customStyle="1" w:styleId="12">
    <w:name w:val="批注主题 字符"/>
    <w:basedOn w:val="11"/>
    <w:link w:val="7"/>
    <w:semiHidden/>
    <w:qFormat/>
    <w:uiPriority w:val="99"/>
    <w:rPr>
      <w:b/>
      <w:bCs/>
    </w:rPr>
  </w:style>
  <w:style w:type="character" w:customStyle="1" w:styleId="13">
    <w:name w:val="批注框文本 字符"/>
    <w:basedOn w:val="9"/>
    <w:link w:val="3"/>
    <w:semiHidden/>
    <w:qFormat/>
    <w:uiPriority w:val="99"/>
    <w:rPr>
      <w:sz w:val="18"/>
      <w:szCs w:val="18"/>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4485</Words>
  <Characters>4532</Characters>
  <Lines>34</Lines>
  <Paragraphs>9</Paragraphs>
  <TotalTime>58</TotalTime>
  <ScaleCrop>false</ScaleCrop>
  <LinksUpToDate>false</LinksUpToDate>
  <CharactersWithSpaces>4563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2022-04-09T01:46:00Z</dcterms:created>
  <dc:creator>肖 素芳</dc:creator>
  <cp:lastModifiedBy>深圳戴梦秀 Matthew</cp:lastModifiedBy>
  <dcterms:modified xsi:type="dcterms:W3CDTF">2025-06-11T09:33:05Z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7AC70D72E5C84B3F82D7F6B4773FD234</vt:lpwstr>
  </property>
  <property fmtid="{D5CDD505-2E9C-101B-9397-08002B2CF9AE}" pid="4" name="KSOTemplateDocerSaveRecord">
    <vt:lpwstr>eyJoZGlkIjoiMzcxZTYxN2ZkM2YyMWZhYjQ1ODQ1YTAzY2E1MDA4MTEiLCJ1c2VySWQiOiIyMjE4MzMwNDcifQ==</vt:lpwstr>
  </property>
</Properties>
</file>