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8CB90">
      <w:pPr>
        <w:spacing w:before="156" w:beforeLines="50" w:after="156" w:afterLines="50" w:line="400" w:lineRule="exact"/>
        <w:jc w:val="center"/>
        <w:rPr>
          <w:rFonts w:ascii="方正小标宋简体" w:eastAsia="方正小标宋简体"/>
          <w:bCs/>
          <w:sz w:val="44"/>
          <w:szCs w:val="44"/>
        </w:rPr>
      </w:pPr>
      <w:r>
        <w:rPr>
          <w:rFonts w:hint="eastAsia" w:ascii="方正小标宋简体" w:eastAsia="方正小标宋简体"/>
          <w:bCs/>
          <w:sz w:val="44"/>
          <w:szCs w:val="44"/>
        </w:rPr>
        <w:t>2026年度广西科学技术进步奖拟提名项目公示信息</w:t>
      </w:r>
    </w:p>
    <w:p w14:paraId="1FC61F38">
      <w:pPr>
        <w:spacing w:before="156" w:beforeLines="50" w:after="156" w:afterLines="50" w:line="400" w:lineRule="exact"/>
        <w:jc w:val="center"/>
        <w:rPr>
          <w:rFonts w:ascii="方正小标宋简体" w:eastAsia="方正小标宋简体"/>
          <w:bCs/>
          <w:sz w:val="44"/>
          <w:szCs w:val="44"/>
        </w:rPr>
      </w:pPr>
    </w:p>
    <w:tbl>
      <w:tblPr>
        <w:tblStyle w:val="9"/>
        <w:tblW w:w="14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5"/>
        <w:gridCol w:w="3882"/>
        <w:gridCol w:w="1646"/>
        <w:gridCol w:w="6104"/>
      </w:tblGrid>
      <w:tr w14:paraId="0D3D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EA86666">
            <w:pPr>
              <w:spacing w:line="36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项目名称</w:t>
            </w:r>
          </w:p>
        </w:tc>
        <w:tc>
          <w:tcPr>
            <w:tcW w:w="11632" w:type="dxa"/>
            <w:gridSpan w:val="3"/>
            <w:vAlign w:val="center"/>
          </w:tcPr>
          <w:p w14:paraId="6D6D17FA">
            <w:pPr>
              <w:spacing w:line="36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高效热电转换材料与器件关键技术及多场景节能应用</w:t>
            </w:r>
          </w:p>
        </w:tc>
      </w:tr>
      <w:tr w14:paraId="1D0C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170F7912">
            <w:pPr>
              <w:spacing w:line="36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提名单位/提名专家</w:t>
            </w:r>
          </w:p>
        </w:tc>
        <w:tc>
          <w:tcPr>
            <w:tcW w:w="3882" w:type="dxa"/>
            <w:vAlign w:val="center"/>
          </w:tcPr>
          <w:p w14:paraId="47A45C97">
            <w:pPr>
              <w:spacing w:line="360" w:lineRule="exact"/>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张联盟 院士</w:t>
            </w:r>
          </w:p>
        </w:tc>
        <w:tc>
          <w:tcPr>
            <w:tcW w:w="1646" w:type="dxa"/>
            <w:vAlign w:val="center"/>
          </w:tcPr>
          <w:p w14:paraId="0780D76A">
            <w:pPr>
              <w:spacing w:line="40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提名等级</w:t>
            </w:r>
          </w:p>
        </w:tc>
        <w:tc>
          <w:tcPr>
            <w:tcW w:w="6104" w:type="dxa"/>
            <w:vAlign w:val="center"/>
          </w:tcPr>
          <w:p w14:paraId="74D4A6B7">
            <w:pPr>
              <w:spacing w:line="36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Cs/>
                <w:color w:val="000000" w:themeColor="text1"/>
                <w:kern w:val="0"/>
                <w:sz w:val="24"/>
                <w:szCs w:val="24"/>
                <w14:textFill>
                  <w14:solidFill>
                    <w14:schemeClr w14:val="tx1"/>
                  </w14:solidFill>
                </w14:textFill>
              </w:rPr>
              <w:t>一等奖</w:t>
            </w:r>
          </w:p>
        </w:tc>
      </w:tr>
      <w:tr w14:paraId="34E1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BD2E3CA">
            <w:pPr>
              <w:spacing w:line="36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候选个人</w:t>
            </w:r>
          </w:p>
        </w:tc>
        <w:tc>
          <w:tcPr>
            <w:tcW w:w="11632" w:type="dxa"/>
            <w:gridSpan w:val="3"/>
            <w:shd w:val="clear" w:color="auto" w:fill="auto"/>
            <w:vAlign w:val="center"/>
          </w:tcPr>
          <w:p w14:paraId="3479849D">
            <w:pPr>
              <w:pStyle w:val="3"/>
              <w:spacing w:line="240" w:lineRule="auto"/>
              <w:ind w:firstLine="0" w:firstLineChars="0"/>
              <w:rPr>
                <w:rFonts w:hint="default" w:ascii="Times New Roman" w:hAnsi="Times New Roman" w:eastAsia="仿宋" w:cs="Times New Roman"/>
                <w:bCs/>
                <w:color w:val="000000" w:themeColor="text1"/>
                <w:kern w:val="0"/>
                <w:szCs w:val="24"/>
                <w14:textFill>
                  <w14:solidFill>
                    <w14:schemeClr w14:val="tx1"/>
                  </w14:solidFill>
                </w14:textFill>
              </w:rPr>
            </w:pPr>
            <w:bookmarkStart w:id="0" w:name="OLE_LINK7"/>
            <w:bookmarkStart w:id="1" w:name="OLE_LINK6"/>
            <w:r>
              <w:rPr>
                <w:rFonts w:hint="default" w:ascii="Times New Roman" w:hAnsi="Times New Roman" w:eastAsia="仿宋" w:cs="Times New Roman"/>
                <w:color w:val="000000" w:themeColor="text1"/>
                <w:kern w:val="0"/>
                <w:szCs w:val="24"/>
                <w14:textFill>
                  <w14:solidFill>
                    <w14:schemeClr w14:val="tx1"/>
                  </w14:solidFill>
                </w14:textFill>
              </w:rPr>
              <w:t>苗蕾，刘呈燕，王潇漾，朱思靖，陈俊良，</w:t>
            </w:r>
            <w:bookmarkStart w:id="2" w:name="OLE_LINK20"/>
            <w:bookmarkStart w:id="3" w:name="OLE_LINK21"/>
            <w:bookmarkStart w:id="4" w:name="OLE_LINK26"/>
            <w:r>
              <w:rPr>
                <w:rFonts w:hint="default" w:ascii="Times New Roman" w:hAnsi="Times New Roman" w:eastAsia="仿宋" w:cs="Times New Roman"/>
                <w:color w:val="000000" w:themeColor="text1"/>
                <w:kern w:val="0"/>
                <w:szCs w:val="24"/>
                <w14:textFill>
                  <w14:solidFill>
                    <w14:schemeClr w14:val="tx1"/>
                  </w14:solidFill>
                </w14:textFill>
              </w:rPr>
              <w:t>柯善军</w:t>
            </w:r>
            <w:bookmarkEnd w:id="2"/>
            <w:bookmarkEnd w:id="3"/>
            <w:bookmarkEnd w:id="4"/>
            <w:r>
              <w:rPr>
                <w:rFonts w:hint="default" w:ascii="Times New Roman" w:hAnsi="Times New Roman" w:eastAsia="仿宋" w:cs="Times New Roman"/>
                <w:color w:val="000000" w:themeColor="text1"/>
                <w:kern w:val="0"/>
                <w:szCs w:val="24"/>
                <w14:textFill>
                  <w14:solidFill>
                    <w14:schemeClr w14:val="tx1"/>
                  </w14:solidFill>
                </w14:textFill>
              </w:rPr>
              <w:t>，范超群，张文涛，阚宗祥，陈建民，高杰，张忠玮，穆晓江，周建华，洪立秋</w:t>
            </w:r>
            <w:bookmarkEnd w:id="0"/>
            <w:bookmarkEnd w:id="1"/>
          </w:p>
        </w:tc>
      </w:tr>
      <w:tr w14:paraId="0903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44176052">
            <w:pPr>
              <w:spacing w:line="36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候选组织</w:t>
            </w:r>
          </w:p>
        </w:tc>
        <w:tc>
          <w:tcPr>
            <w:tcW w:w="11632" w:type="dxa"/>
            <w:gridSpan w:val="3"/>
            <w:shd w:val="clear" w:color="auto" w:fill="auto"/>
            <w:vAlign w:val="center"/>
          </w:tcPr>
          <w:p w14:paraId="4FD71310">
            <w:pPr>
              <w:pStyle w:val="3"/>
              <w:spacing w:line="240" w:lineRule="auto"/>
              <w:ind w:firstLine="0" w:firstLineChars="0"/>
              <w:rPr>
                <w:rFonts w:hint="default" w:ascii="Times New Roman" w:hAnsi="Times New Roman" w:eastAsia="仿宋" w:cs="Times New Roman"/>
                <w:bCs/>
                <w:color w:val="000000" w:themeColor="text1"/>
                <w:kern w:val="0"/>
                <w:szCs w:val="24"/>
                <w14:textFill>
                  <w14:solidFill>
                    <w14:schemeClr w14:val="tx1"/>
                  </w14:solidFill>
                </w14:textFill>
              </w:rPr>
            </w:pPr>
            <w:bookmarkStart w:id="5" w:name="OLE_LINK32"/>
            <w:bookmarkStart w:id="6" w:name="OLE_LINK31"/>
            <w:r>
              <w:rPr>
                <w:rFonts w:hint="default" w:ascii="Times New Roman" w:hAnsi="Times New Roman" w:eastAsia="仿宋" w:cs="Times New Roman"/>
                <w:color w:val="000000" w:themeColor="text1"/>
                <w:kern w:val="0"/>
                <w:szCs w:val="24"/>
                <w14:textFill>
                  <w14:solidFill>
                    <w14:schemeClr w14:val="tx1"/>
                  </w14:solidFill>
                </w14:textFill>
              </w:rPr>
              <w:t>广西大学，桂林电子科技大学，广西欧神诺陶瓷有限公司，玉柴芯蓝新能源动力科技有限公司，</w:t>
            </w:r>
            <w:bookmarkStart w:id="7" w:name="OLE_LINK30"/>
            <w:bookmarkStart w:id="8" w:name="OLE_LINK29"/>
            <w:r>
              <w:rPr>
                <w:rFonts w:hint="default" w:ascii="Times New Roman" w:hAnsi="Times New Roman" w:eastAsia="仿宋" w:cs="Times New Roman"/>
                <w:color w:val="000000" w:themeColor="text1"/>
                <w:kern w:val="0"/>
                <w:szCs w:val="24"/>
                <w14:textFill>
                  <w14:solidFill>
                    <w14:schemeClr w14:val="tx1"/>
                  </w14:solidFill>
                </w14:textFill>
              </w:rPr>
              <w:t>河南鸿昌电子有限公司</w:t>
            </w:r>
            <w:bookmarkEnd w:id="7"/>
            <w:bookmarkEnd w:id="8"/>
            <w:r>
              <w:rPr>
                <w:rFonts w:hint="default" w:ascii="Times New Roman" w:hAnsi="Times New Roman" w:eastAsia="仿宋" w:cs="Times New Roman"/>
                <w:color w:val="000000" w:themeColor="text1"/>
                <w:kern w:val="0"/>
                <w:szCs w:val="24"/>
                <w14:textFill>
                  <w14:solidFill>
                    <w14:schemeClr w14:val="tx1"/>
                  </w14:solidFill>
                </w14:textFill>
              </w:rPr>
              <w:t>，</w:t>
            </w:r>
            <w:bookmarkStart w:id="9" w:name="OLE_LINK4"/>
            <w:bookmarkStart w:id="10" w:name="OLE_LINK5"/>
            <w:r>
              <w:rPr>
                <w:rFonts w:hint="default" w:ascii="Times New Roman" w:hAnsi="Times New Roman" w:eastAsia="仿宋" w:cs="Times New Roman"/>
                <w:color w:val="000000" w:themeColor="text1"/>
                <w:kern w:val="0"/>
                <w:szCs w:val="24"/>
                <w14:textFill>
                  <w14:solidFill>
                    <w14:schemeClr w14:val="tx1"/>
                  </w14:solidFill>
                </w14:textFill>
              </w:rPr>
              <w:t>湖南人文科技学院</w:t>
            </w:r>
            <w:bookmarkEnd w:id="9"/>
            <w:bookmarkEnd w:id="10"/>
            <w:r>
              <w:rPr>
                <w:rFonts w:hint="default" w:ascii="Times New Roman" w:hAnsi="Times New Roman" w:eastAsia="仿宋" w:cs="Times New Roman"/>
                <w:color w:val="000000" w:themeColor="text1"/>
                <w:kern w:val="0"/>
                <w:szCs w:val="24"/>
                <w14:textFill>
                  <w14:solidFill>
                    <w14:schemeClr w14:val="tx1"/>
                  </w14:solidFill>
                </w14:textFill>
              </w:rPr>
              <w:t>，香河东方电子有限公司，</w:t>
            </w:r>
            <w:bookmarkEnd w:id="5"/>
            <w:bookmarkEnd w:id="6"/>
            <w:r>
              <w:rPr>
                <w:rFonts w:hint="default" w:ascii="Times New Roman" w:hAnsi="Times New Roman" w:eastAsia="仿宋" w:cs="Times New Roman"/>
                <w:color w:val="000000" w:themeColor="text1"/>
                <w:kern w:val="0"/>
                <w:szCs w:val="24"/>
                <w14:textFill>
                  <w14:solidFill>
                    <w14:schemeClr w14:val="tx1"/>
                  </w14:solidFill>
                </w14:textFill>
              </w:rPr>
              <w:t>广西安鑫新材料科技有限公司</w:t>
            </w:r>
          </w:p>
        </w:tc>
      </w:tr>
      <w:tr w14:paraId="7E2F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2" w:hRule="atLeast"/>
          <w:jc w:val="center"/>
        </w:trPr>
        <w:tc>
          <w:tcPr>
            <w:tcW w:w="2405" w:type="dxa"/>
            <w:vAlign w:val="center"/>
          </w:tcPr>
          <w:p w14:paraId="5A1C78C2">
            <w:pPr>
              <w:spacing w:line="400" w:lineRule="exact"/>
              <w:jc w:val="center"/>
              <w:rPr>
                <w:rFonts w:hint="default" w:ascii="Times New Roman" w:hAnsi="Times New Roman" w:eastAsia="仿宋" w:cs="Times New Roman"/>
                <w:b/>
                <w:kern w:val="0"/>
                <w:sz w:val="24"/>
                <w:szCs w:val="24"/>
              </w:rPr>
            </w:pPr>
            <w:r>
              <w:rPr>
                <w:rFonts w:hint="default" w:ascii="Times New Roman" w:hAnsi="Times New Roman" w:eastAsia="仿宋" w:cs="Times New Roman"/>
                <w:b/>
                <w:kern w:val="0"/>
                <w:sz w:val="24"/>
                <w:szCs w:val="24"/>
              </w:rPr>
              <w:t>项目简介</w:t>
            </w:r>
          </w:p>
        </w:tc>
        <w:tc>
          <w:tcPr>
            <w:tcW w:w="11632" w:type="dxa"/>
            <w:gridSpan w:val="3"/>
            <w:vAlign w:val="center"/>
          </w:tcPr>
          <w:p w14:paraId="2021506B">
            <w:pPr>
              <w:adjustRightInd w:val="0"/>
              <w:snapToGrid w:val="0"/>
              <w:spacing w:line="406" w:lineRule="exact"/>
              <w:ind w:firstLine="480" w:firstLineChars="200"/>
              <w:rPr>
                <w:rFonts w:hint="default" w:ascii="Times New Roman" w:hAnsi="Times New Roman" w:eastAsia="仿宋" w:cs="Times New Roman"/>
                <w:snapToGrid w:val="0"/>
                <w:color w:val="auto"/>
                <w:sz w:val="24"/>
                <w:szCs w:val="24"/>
                <w:highlight w:val="none"/>
              </w:rPr>
            </w:pPr>
            <w:r>
              <w:rPr>
                <w:rFonts w:hint="default" w:ascii="Times New Roman" w:hAnsi="Times New Roman" w:eastAsia="仿宋" w:cs="Times New Roman"/>
                <w:snapToGrid w:val="0"/>
                <w:color w:val="auto"/>
                <w:sz w:val="24"/>
                <w:szCs w:val="24"/>
                <w:highlight w:val="none"/>
              </w:rPr>
              <w:t>半导体制冷器件是光通信、激光雷达、红外探测等领域精密温控的核心部件。随着器件微型化需求日益迫切（芯片面积＜5 mm</w:t>
            </w:r>
            <w:r>
              <w:rPr>
                <w:rFonts w:hint="default" w:ascii="Times New Roman" w:hAnsi="Times New Roman" w:eastAsia="仿宋" w:cs="Times New Roman"/>
                <w:snapToGrid w:val="0"/>
                <w:color w:val="auto"/>
                <w:sz w:val="24"/>
                <w:szCs w:val="24"/>
                <w:highlight w:val="none"/>
                <w:vertAlign w:val="superscript"/>
                <w:lang w:val="en-US" w:eastAsia="zh-CN"/>
              </w:rPr>
              <w:t>2</w:t>
            </w:r>
            <w:r>
              <w:rPr>
                <w:rFonts w:hint="default" w:ascii="Times New Roman" w:hAnsi="Times New Roman" w:eastAsia="仿宋" w:cs="Times New Roman"/>
                <w:snapToGrid w:val="0"/>
                <w:color w:val="auto"/>
                <w:sz w:val="24"/>
                <w:szCs w:val="24"/>
                <w:highlight w:val="none"/>
              </w:rPr>
              <w:t>），行业面临三大瓶颈：热电材料对点缺陷极度敏感，组分偏离即显著降低热电优值，且脆硬易裂、成品率不足60%；冷热循环下电极界面元素互扩散致性能持续衰减；高密度集成时热流密度超10 W/cm</w:t>
            </w:r>
            <w:r>
              <w:rPr>
                <w:rFonts w:hint="default" w:ascii="Times New Roman" w:hAnsi="Times New Roman" w:eastAsia="仿宋" w:cs="Times New Roman"/>
                <w:snapToGrid w:val="0"/>
                <w:color w:val="auto"/>
                <w:sz w:val="24"/>
                <w:szCs w:val="24"/>
                <w:highlight w:val="none"/>
                <w:vertAlign w:val="superscript"/>
                <w:lang w:val="en-US" w:eastAsia="zh-CN"/>
              </w:rPr>
              <w:t>2</w:t>
            </w:r>
            <w:r>
              <w:rPr>
                <w:rFonts w:hint="default" w:ascii="Times New Roman" w:hAnsi="Times New Roman" w:eastAsia="仿宋" w:cs="Times New Roman"/>
                <w:snapToGrid w:val="0"/>
                <w:color w:val="auto"/>
                <w:sz w:val="24"/>
                <w:szCs w:val="24"/>
                <w:highlight w:val="none"/>
              </w:rPr>
              <w:t>，热量积聚形成热交叉干扰。在国家自然科学基金区域联合重点项目、青年基金及广西重点研发计划等项目支持下，项目组历经十余年攻关，取得如下创新：</w:t>
            </w:r>
          </w:p>
          <w:p w14:paraId="189B962A">
            <w:pPr>
              <w:adjustRightInd w:val="0"/>
              <w:snapToGrid w:val="0"/>
              <w:spacing w:line="406" w:lineRule="exact"/>
              <w:ind w:firstLine="482" w:firstLineChars="200"/>
              <w:rPr>
                <w:rFonts w:hint="default" w:ascii="Times New Roman" w:hAnsi="Times New Roman" w:eastAsia="仿宋" w:cs="Times New Roman"/>
                <w:snapToGrid w:val="0"/>
                <w:color w:val="auto"/>
                <w:sz w:val="24"/>
                <w:szCs w:val="24"/>
                <w:highlight w:val="none"/>
              </w:rPr>
            </w:pPr>
            <w:r>
              <w:rPr>
                <w:rFonts w:hint="default" w:ascii="Times New Roman" w:hAnsi="Times New Roman" w:eastAsia="仿宋" w:cs="Times New Roman"/>
                <w:b/>
                <w:bCs/>
                <w:snapToGrid w:val="0"/>
                <w:color w:val="auto"/>
                <w:sz w:val="24"/>
                <w:szCs w:val="24"/>
                <w:highlight w:val="none"/>
              </w:rPr>
              <w:t>（1）创新了热电材料高性能制备与性能调控技术</w:t>
            </w:r>
            <w:r>
              <w:rPr>
                <w:rFonts w:hint="default" w:ascii="Times New Roman" w:hAnsi="Times New Roman" w:eastAsia="仿宋" w:cs="Times New Roman"/>
                <w:snapToGrid w:val="0"/>
                <w:color w:val="auto"/>
                <w:sz w:val="24"/>
                <w:szCs w:val="24"/>
                <w:highlight w:val="none"/>
              </w:rPr>
              <w:t>。提出了晶格占位与点缺陷协同调控原理，建立了缺陷识别与浓度控制模型；研发了温度梯度控制定向凝固与低能耗球磨</w:t>
            </w:r>
            <w:r>
              <w:rPr>
                <w:rFonts w:hint="default" w:ascii="Times New Roman" w:hAnsi="Times New Roman" w:eastAsia="仿宋" w:cs="Times New Roman"/>
                <w:snapToGrid w:val="0"/>
                <w:color w:val="auto"/>
                <w:sz w:val="24"/>
                <w:szCs w:val="24"/>
                <w:highlight w:val="none"/>
                <w:lang w:val="en-US" w:eastAsia="zh-CN"/>
              </w:rPr>
              <w:t>-</w:t>
            </w:r>
            <w:r>
              <w:rPr>
                <w:rFonts w:hint="default" w:ascii="Times New Roman" w:hAnsi="Times New Roman" w:eastAsia="仿宋" w:cs="Times New Roman"/>
                <w:snapToGrid w:val="0"/>
                <w:color w:val="auto"/>
                <w:sz w:val="24"/>
                <w:szCs w:val="24"/>
                <w:highlight w:val="none"/>
              </w:rPr>
              <w:t>烧结工艺，实现了点缺陷精确调控；通过热挤压织构化设计抑制解理面脆性开裂，室温</w:t>
            </w:r>
            <w:r>
              <w:rPr>
                <w:rFonts w:hint="default" w:ascii="Times New Roman" w:hAnsi="Times New Roman" w:eastAsia="仿宋" w:cs="Times New Roman"/>
                <w:i/>
                <w:iCs/>
                <w:snapToGrid w:val="0"/>
                <w:color w:val="auto"/>
                <w:sz w:val="24"/>
                <w:szCs w:val="24"/>
                <w:highlight w:val="none"/>
              </w:rPr>
              <w:t>zT</w:t>
            </w:r>
            <w:r>
              <w:rPr>
                <w:rFonts w:hint="default" w:ascii="Times New Roman" w:hAnsi="Times New Roman" w:eastAsia="仿宋" w:cs="Times New Roman"/>
                <w:snapToGrid w:val="0"/>
                <w:color w:val="auto"/>
                <w:sz w:val="24"/>
                <w:szCs w:val="24"/>
                <w:highlight w:val="none"/>
              </w:rPr>
              <w:t>值达1.2以上，器件成品率由不足60%提升至80%以上。</w:t>
            </w:r>
          </w:p>
          <w:p w14:paraId="016ECD1C">
            <w:pPr>
              <w:adjustRightInd w:val="0"/>
              <w:snapToGrid w:val="0"/>
              <w:spacing w:line="406" w:lineRule="exact"/>
              <w:ind w:firstLine="482" w:firstLineChars="200"/>
              <w:rPr>
                <w:rFonts w:hint="default" w:ascii="Times New Roman" w:hAnsi="Times New Roman" w:eastAsia="仿宋" w:cs="Times New Roman"/>
                <w:snapToGrid w:val="0"/>
                <w:color w:val="auto"/>
                <w:sz w:val="24"/>
                <w:szCs w:val="24"/>
                <w:highlight w:val="none"/>
              </w:rPr>
            </w:pPr>
            <w:r>
              <w:rPr>
                <w:rFonts w:hint="default" w:ascii="Times New Roman" w:hAnsi="Times New Roman" w:eastAsia="仿宋" w:cs="Times New Roman"/>
                <w:b/>
                <w:bCs/>
                <w:snapToGrid w:val="0"/>
                <w:color w:val="auto"/>
                <w:sz w:val="24"/>
                <w:szCs w:val="24"/>
                <w:highlight w:val="none"/>
              </w:rPr>
              <w:t>（2）研发了微型热电器件成型制备与界面可靠性调控技术</w:t>
            </w:r>
            <w:r>
              <w:rPr>
                <w:rFonts w:hint="default" w:ascii="Times New Roman" w:hAnsi="Times New Roman" w:eastAsia="仿宋" w:cs="Times New Roman"/>
                <w:snapToGrid w:val="0"/>
                <w:color w:val="auto"/>
                <w:sz w:val="24"/>
                <w:szCs w:val="24"/>
                <w:highlight w:val="none"/>
              </w:rPr>
              <w:t>。建立了替位能判据的阻挡层材料第一性原理筛选模型，快速筛选出高迁移势垒阻挡层材料；创新了两步界面改性工艺与复合阻挡层结构，通过热膨胀系数梯度设计消除界面热失配应力，-40℃～150℃冷热循环2000次后内阻增加率小于8%，服役寿命提升2倍以上。</w:t>
            </w:r>
          </w:p>
          <w:p w14:paraId="0B7A6F7A">
            <w:pPr>
              <w:adjustRightInd w:val="0"/>
              <w:snapToGrid w:val="0"/>
              <w:spacing w:line="406" w:lineRule="exact"/>
              <w:ind w:firstLine="482" w:firstLineChars="200"/>
              <w:rPr>
                <w:rFonts w:hint="default" w:ascii="Times New Roman" w:hAnsi="Times New Roman" w:eastAsia="仿宋" w:cs="Times New Roman"/>
                <w:snapToGrid w:val="0"/>
                <w:color w:val="auto"/>
                <w:sz w:val="24"/>
                <w:szCs w:val="24"/>
                <w:highlight w:val="none"/>
              </w:rPr>
            </w:pPr>
            <w:r>
              <w:rPr>
                <w:rFonts w:hint="default" w:ascii="Times New Roman" w:hAnsi="Times New Roman" w:eastAsia="仿宋" w:cs="Times New Roman"/>
                <w:b/>
                <w:bCs/>
                <w:snapToGrid w:val="0"/>
                <w:color w:val="auto"/>
                <w:sz w:val="24"/>
                <w:szCs w:val="24"/>
                <w:highlight w:val="none"/>
              </w:rPr>
              <w:t>（3）建立了热电器件热管理与系统集成技术体系</w:t>
            </w:r>
            <w:r>
              <w:rPr>
                <w:rFonts w:hint="default" w:ascii="Times New Roman" w:hAnsi="Times New Roman" w:eastAsia="仿宋" w:cs="Times New Roman"/>
                <w:snapToGrid w:val="0"/>
                <w:color w:val="auto"/>
                <w:sz w:val="24"/>
                <w:szCs w:val="24"/>
                <w:highlight w:val="none"/>
              </w:rPr>
              <w:t>。研发了大尺寸低翘曲度陶瓷基板制备技术，通过热</w:t>
            </w:r>
            <w:r>
              <w:rPr>
                <w:rFonts w:hint="default" w:ascii="Times New Roman" w:hAnsi="Times New Roman" w:eastAsia="仿宋" w:cs="Times New Roman"/>
                <w:snapToGrid w:val="0"/>
                <w:color w:val="auto"/>
                <w:sz w:val="24"/>
                <w:szCs w:val="24"/>
                <w:highlight w:val="none"/>
                <w:lang w:val="en-US" w:eastAsia="zh-CN"/>
              </w:rPr>
              <w:t>-</w:t>
            </w:r>
            <w:r>
              <w:rPr>
                <w:rFonts w:hint="default" w:ascii="Times New Roman" w:hAnsi="Times New Roman" w:eastAsia="仿宋" w:cs="Times New Roman"/>
                <w:snapToGrid w:val="0"/>
                <w:color w:val="auto"/>
                <w:sz w:val="24"/>
                <w:szCs w:val="24"/>
                <w:highlight w:val="none"/>
              </w:rPr>
              <w:t>应力耦合分析控制板材翘曲，以低成本建筑陶瓷工艺满足基板平整度要求；创新了多孔凝胶柔性绝热材料制备技术，集成建立器件阵列热隔离带，实现了重型专用车智能动力系统高温热源与热电模块冷端间的热阻隔；提出了辐射制冷节能瓷砖技术原理，优化釉层组分与微观结构实现建筑表面被动降温。</w:t>
            </w:r>
          </w:p>
          <w:p w14:paraId="5D00A5A7">
            <w:pPr>
              <w:pStyle w:val="3"/>
              <w:spacing w:after="0" w:line="360" w:lineRule="exact"/>
              <w:rPr>
                <w:rFonts w:hint="default" w:ascii="Times New Roman" w:hAnsi="Times New Roman" w:eastAsia="仿宋" w:cs="Times New Roman"/>
                <w:bCs/>
                <w:color w:val="000000"/>
                <w:kern w:val="0"/>
                <w:szCs w:val="24"/>
              </w:rPr>
            </w:pPr>
            <w:r>
              <w:rPr>
                <w:rFonts w:hint="default" w:ascii="Times New Roman" w:hAnsi="Times New Roman" w:eastAsia="仿宋" w:cs="Times New Roman"/>
                <w:snapToGrid w:val="0"/>
                <w:color w:val="auto"/>
                <w:sz w:val="24"/>
                <w:szCs w:val="24"/>
                <w:highlight w:val="none"/>
              </w:rPr>
              <w:t>项目获授权中国发明专利1</w:t>
            </w:r>
            <w:r>
              <w:rPr>
                <w:rFonts w:hint="default" w:ascii="Times New Roman" w:hAnsi="Times New Roman" w:eastAsia="仿宋" w:cs="Times New Roman"/>
                <w:snapToGrid w:val="0"/>
                <w:color w:val="auto"/>
                <w:sz w:val="24"/>
                <w:szCs w:val="24"/>
                <w:highlight w:val="none"/>
                <w:lang w:val="en-US" w:eastAsia="zh-CN"/>
              </w:rPr>
              <w:t>8</w:t>
            </w:r>
            <w:r>
              <w:rPr>
                <w:rFonts w:hint="default" w:ascii="Times New Roman" w:hAnsi="Times New Roman" w:eastAsia="仿宋" w:cs="Times New Roman"/>
                <w:snapToGrid w:val="0"/>
                <w:color w:val="auto"/>
                <w:sz w:val="24"/>
                <w:szCs w:val="24"/>
                <w:highlight w:val="none"/>
              </w:rPr>
              <w:t>件</w:t>
            </w:r>
            <w:r>
              <w:rPr>
                <w:rFonts w:hint="default" w:ascii="Times New Roman" w:hAnsi="Times New Roman" w:eastAsia="仿宋" w:cs="Times New Roman"/>
                <w:snapToGrid w:val="0"/>
                <w:color w:val="auto"/>
                <w:sz w:val="24"/>
                <w:szCs w:val="24"/>
                <w:highlight w:val="none"/>
                <w:lang w:eastAsia="zh-CN"/>
              </w:rPr>
              <w:t>，</w:t>
            </w:r>
            <w:r>
              <w:rPr>
                <w:rFonts w:hint="default" w:ascii="Times New Roman" w:hAnsi="Times New Roman" w:eastAsia="仿宋" w:cs="Times New Roman"/>
                <w:snapToGrid w:val="0"/>
                <w:color w:val="auto"/>
                <w:sz w:val="24"/>
                <w:szCs w:val="24"/>
                <w:highlight w:val="none"/>
                <w:lang w:val="en-US" w:eastAsia="zh-CN"/>
              </w:rPr>
              <w:t>制定团体标准与行业标准4项，发表学术论文86篇</w:t>
            </w:r>
            <w:r>
              <w:rPr>
                <w:rFonts w:hint="default" w:ascii="Times New Roman" w:hAnsi="Times New Roman" w:eastAsia="仿宋" w:cs="Times New Roman"/>
                <w:snapToGrid w:val="0"/>
                <w:color w:val="auto"/>
                <w:sz w:val="24"/>
                <w:szCs w:val="24"/>
                <w:highlight w:val="none"/>
              </w:rPr>
              <w:t>。材料室温</w:t>
            </w:r>
            <w:r>
              <w:rPr>
                <w:rFonts w:hint="default" w:ascii="Times New Roman" w:hAnsi="Times New Roman" w:eastAsia="仿宋" w:cs="Times New Roman"/>
                <w:i/>
                <w:iCs/>
                <w:snapToGrid w:val="0"/>
                <w:color w:val="auto"/>
                <w:sz w:val="24"/>
                <w:szCs w:val="24"/>
                <w:highlight w:val="none"/>
              </w:rPr>
              <w:t>zT</w:t>
            </w:r>
            <w:r>
              <w:rPr>
                <w:rFonts w:hint="default" w:ascii="Times New Roman" w:hAnsi="Times New Roman" w:eastAsia="仿宋" w:cs="Times New Roman"/>
                <w:snapToGrid w:val="0"/>
                <w:color w:val="auto"/>
                <w:sz w:val="24"/>
                <w:szCs w:val="24"/>
                <w:highlight w:val="none"/>
              </w:rPr>
              <w:t>值≥1.2；机械加工成品率由＜60%提升至＞80%；-40℃～150℃冷热循环2000次内阻增加率＜8%；气凝胶隔热材料热导率≤0.04 W/(m·K)。成果已在广西欧神诺、玉柴芯蓝等5家企业实现产业化，近三年新增销售额超10亿元、新增利润超1.5亿元，经济社会效益显著。</w:t>
            </w:r>
          </w:p>
        </w:tc>
      </w:tr>
    </w:tbl>
    <w:p w14:paraId="09DB34F0">
      <w:pPr>
        <w:rPr>
          <w:rFonts w:ascii="仿宋" w:hAnsi="仿宋" w:eastAsia="仿宋"/>
          <w:b/>
          <w:bCs/>
        </w:rPr>
      </w:pPr>
    </w:p>
    <w:p w14:paraId="398A98A1">
      <w:pPr>
        <w:widowControl w:val="0"/>
        <w:adjustRightInd w:val="0"/>
        <w:snapToGrid w:val="0"/>
        <w:spacing w:line="406" w:lineRule="exact"/>
        <w:jc w:val="center"/>
        <w:rPr>
          <w:rFonts w:ascii="仿宋" w:hAnsi="仿宋" w:eastAsia="仿宋"/>
          <w:b/>
          <w:snapToGrid w:val="0"/>
          <w:color w:val="000000"/>
          <w:szCs w:val="32"/>
        </w:rPr>
      </w:pPr>
      <w:r>
        <w:rPr>
          <w:rFonts w:hint="eastAsia" w:ascii="仿宋" w:hAnsi="仿宋" w:eastAsia="仿宋"/>
          <w:b/>
          <w:snapToGrid w:val="0"/>
          <w:color w:val="000000"/>
          <w:szCs w:val="32"/>
        </w:rPr>
        <w:t>一</w:t>
      </w:r>
      <w:r>
        <w:rPr>
          <w:rFonts w:ascii="仿宋" w:hAnsi="仿宋" w:eastAsia="仿宋"/>
          <w:b/>
          <w:snapToGrid w:val="0"/>
          <w:color w:val="000000"/>
          <w:szCs w:val="32"/>
        </w:rPr>
        <w:t>、主要知识产权和标准规范目录（不超过12件）</w:t>
      </w:r>
    </w:p>
    <w:p w14:paraId="150E303B">
      <w:pPr>
        <w:widowControl w:val="0"/>
        <w:adjustRightInd w:val="0"/>
        <w:snapToGrid w:val="0"/>
        <w:spacing w:after="156" w:afterLines="50" w:line="406" w:lineRule="exact"/>
        <w:jc w:val="center"/>
        <w:rPr>
          <w:rFonts w:ascii="仿宋" w:hAnsi="仿宋" w:eastAsia="仿宋"/>
          <w:b/>
          <w:snapToGrid w:val="0"/>
          <w:color w:val="000000"/>
          <w:szCs w:val="32"/>
        </w:rPr>
      </w:pPr>
      <w:r>
        <w:rPr>
          <w:rFonts w:ascii="仿宋" w:hAnsi="仿宋" w:eastAsia="仿宋"/>
          <w:b/>
          <w:snapToGrid w:val="0"/>
          <w:color w:val="000000"/>
          <w:szCs w:val="32"/>
        </w:rPr>
        <w:t>（适用于产业创新类、社会公益类）</w:t>
      </w:r>
    </w:p>
    <w:tbl>
      <w:tblPr>
        <w:tblStyle w:val="9"/>
        <w:tblW w:w="140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557"/>
        <w:gridCol w:w="709"/>
        <w:gridCol w:w="3686"/>
        <w:gridCol w:w="1417"/>
        <w:gridCol w:w="992"/>
        <w:gridCol w:w="1276"/>
        <w:gridCol w:w="1276"/>
        <w:gridCol w:w="1134"/>
        <w:gridCol w:w="1276"/>
        <w:gridCol w:w="1134"/>
        <w:gridCol w:w="618"/>
      </w:tblGrid>
      <w:tr w14:paraId="5FF83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80" w:hRule="atLeast"/>
          <w:jc w:val="center"/>
        </w:trPr>
        <w:tc>
          <w:tcPr>
            <w:tcW w:w="557" w:type="dxa"/>
            <w:tcBorders>
              <w:top w:val="single" w:color="auto" w:sz="8" w:space="0"/>
              <w:left w:val="single" w:color="auto" w:sz="8" w:space="0"/>
              <w:bottom w:val="single" w:color="auto" w:sz="4" w:space="0"/>
              <w:right w:val="single" w:color="auto" w:sz="4" w:space="0"/>
            </w:tcBorders>
            <w:tcMar>
              <w:top w:w="0" w:type="dxa"/>
              <w:left w:w="57" w:type="dxa"/>
              <w:bottom w:w="0" w:type="dxa"/>
              <w:right w:w="57" w:type="dxa"/>
            </w:tcMar>
            <w:vAlign w:val="center"/>
          </w:tcPr>
          <w:p w14:paraId="5C5D15CF">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排序</w:t>
            </w:r>
          </w:p>
        </w:tc>
        <w:tc>
          <w:tcPr>
            <w:tcW w:w="709"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A1A7FE3">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类型</w:t>
            </w:r>
          </w:p>
        </w:tc>
        <w:tc>
          <w:tcPr>
            <w:tcW w:w="368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5A91190">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成果名称</w:t>
            </w:r>
          </w:p>
        </w:tc>
        <w:tc>
          <w:tcPr>
            <w:tcW w:w="1417"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213A2F2">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编号（年卷页；版号）</w:t>
            </w:r>
          </w:p>
        </w:tc>
        <w:tc>
          <w:tcPr>
            <w:tcW w:w="992"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65EEB63">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授权发布日期</w:t>
            </w:r>
          </w:p>
        </w:tc>
        <w:tc>
          <w:tcPr>
            <w:tcW w:w="127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2792E1F">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完成人</w:t>
            </w:r>
          </w:p>
          <w:p w14:paraId="5DEB5073">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（作者）</w:t>
            </w:r>
          </w:p>
        </w:tc>
        <w:tc>
          <w:tcPr>
            <w:tcW w:w="127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77A28EA">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完成单位</w:t>
            </w:r>
          </w:p>
          <w:p w14:paraId="14806A62">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（署名单位）</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1D7DEF1F">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授权发布部门（刊名）</w:t>
            </w:r>
          </w:p>
        </w:tc>
        <w:tc>
          <w:tcPr>
            <w:tcW w:w="127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034B309D">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成果状态（通讯作者）</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6949AEC">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广西单位是否原始署名</w:t>
            </w:r>
          </w:p>
        </w:tc>
        <w:tc>
          <w:tcPr>
            <w:tcW w:w="618" w:type="dxa"/>
            <w:tcBorders>
              <w:top w:val="single" w:color="auto" w:sz="8" w:space="0"/>
              <w:left w:val="single" w:color="auto" w:sz="4" w:space="0"/>
              <w:bottom w:val="single" w:color="auto" w:sz="4" w:space="0"/>
              <w:right w:val="single" w:color="auto" w:sz="8" w:space="0"/>
            </w:tcBorders>
            <w:tcMar>
              <w:top w:w="0" w:type="dxa"/>
              <w:left w:w="57" w:type="dxa"/>
              <w:bottom w:w="0" w:type="dxa"/>
              <w:right w:w="57" w:type="dxa"/>
            </w:tcMar>
            <w:vAlign w:val="center"/>
          </w:tcPr>
          <w:p w14:paraId="3E08502A">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附件编号</w:t>
            </w:r>
          </w:p>
        </w:tc>
      </w:tr>
      <w:tr w14:paraId="226B6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FB81626">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436A238">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日本发明专利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EFA2632">
            <w:pPr>
              <w:widowControl w:val="0"/>
              <w:adjustRightInd w:val="0"/>
              <w:snapToGrid w:val="0"/>
              <w:spacing w:line="280" w:lineRule="exact"/>
              <w:jc w:val="center"/>
              <w:rPr>
                <w:rFonts w:eastAsia="方正黑体_GBK"/>
                <w:snapToGrid w:val="0"/>
                <w:color w:val="000000"/>
                <w:sz w:val="18"/>
                <w:szCs w:val="18"/>
                <w:lang w:eastAsia="ja-JP"/>
              </w:rPr>
            </w:pPr>
            <w:r>
              <w:rPr>
                <w:rFonts w:eastAsiaTheme="minorEastAsia"/>
                <w:snapToGrid w:val="0"/>
                <w:sz w:val="20"/>
                <w:lang w:eastAsia="ja-JP"/>
              </w:rPr>
              <w:t>热電性能が高いｎ型</w:t>
            </w:r>
            <w:r>
              <w:rPr>
                <w:rFonts w:hint="eastAsia" w:eastAsiaTheme="minorEastAsia"/>
                <w:snapToGrid w:val="0"/>
                <w:sz w:val="20"/>
                <w:lang w:eastAsia="ja-JP"/>
              </w:rPr>
              <w:t>Mg</w:t>
            </w:r>
            <w:r>
              <w:rPr>
                <w:rFonts w:hint="eastAsia" w:eastAsiaTheme="minorEastAsia"/>
                <w:snapToGrid w:val="0"/>
                <w:sz w:val="20"/>
                <w:vertAlign w:val="subscript"/>
                <w:lang w:eastAsia="ja-JP"/>
              </w:rPr>
              <w:t>2</w:t>
            </w:r>
            <w:r>
              <w:rPr>
                <w:rFonts w:hint="eastAsia" w:eastAsiaTheme="minorEastAsia"/>
                <w:snapToGrid w:val="0"/>
                <w:sz w:val="20"/>
                <w:lang w:eastAsia="ja-JP"/>
              </w:rPr>
              <w:t>Sb</w:t>
            </w:r>
            <w:r>
              <w:rPr>
                <w:rFonts w:hint="eastAsia" w:eastAsiaTheme="minorEastAsia"/>
                <w:snapToGrid w:val="0"/>
                <w:sz w:val="20"/>
                <w:vertAlign w:val="subscript"/>
                <w:lang w:eastAsia="ja-JP"/>
              </w:rPr>
              <w:t>2</w:t>
            </w:r>
            <w:r>
              <w:rPr>
                <w:rFonts w:eastAsiaTheme="minorEastAsia"/>
                <w:snapToGrid w:val="0"/>
                <w:sz w:val="20"/>
                <w:lang w:eastAsia="ja-JP"/>
              </w:rPr>
              <w:t>ベース材料を迅速に製造する方法</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D981C8F">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特许第7217547</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8C9654">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2023.01.26</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F70026F">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苗蕾;梁继升;刘呈燕;陈俊良</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1A4812">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广西大学</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64BBC05">
            <w:pPr>
              <w:widowControl w:val="0"/>
              <w:adjustRightInd w:val="0"/>
              <w:snapToGrid w:val="0"/>
              <w:spacing w:line="280" w:lineRule="exact"/>
              <w:jc w:val="center"/>
              <w:rPr>
                <w:rFonts w:eastAsia="方正黑体_GBK"/>
                <w:snapToGrid w:val="0"/>
                <w:color w:val="000000"/>
                <w:sz w:val="18"/>
                <w:szCs w:val="18"/>
              </w:rPr>
            </w:pPr>
            <w:r>
              <w:rPr>
                <w:rFonts w:hint="eastAsia" w:asciiTheme="minorEastAsia" w:hAnsiTheme="minorEastAsia" w:eastAsiaTheme="minorEastAsia"/>
                <w:snapToGrid w:val="0"/>
                <w:sz w:val="20"/>
              </w:rPr>
              <w:t>日本特许厅</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278F1B8">
            <w:pPr>
              <w:widowControl w:val="0"/>
              <w:adjustRightInd w:val="0"/>
              <w:snapToGrid w:val="0"/>
              <w:spacing w:line="280" w:lineRule="exact"/>
              <w:jc w:val="center"/>
              <w:rPr>
                <w:rFonts w:eastAsia="方正黑体_GBK"/>
                <w:snapToGrid w:val="0"/>
                <w:color w:val="000000"/>
                <w:sz w:val="20"/>
                <w:szCs w:val="20"/>
              </w:rPr>
            </w:pPr>
            <w:r>
              <w:rPr>
                <w:rFonts w:hint="eastAsia" w:asciiTheme="minorEastAsia" w:hAnsiTheme="minorEastAsia" w:eastAsiaTheme="minorEastAsia"/>
                <w:snapToGrid w:val="0"/>
                <w:sz w:val="20"/>
                <w:szCs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4DDFAE3">
            <w:pPr>
              <w:widowControl w:val="0"/>
              <w:adjustRightInd w:val="0"/>
              <w:snapToGrid w:val="0"/>
              <w:spacing w:line="280" w:lineRule="exact"/>
              <w:jc w:val="center"/>
              <w:rPr>
                <w:rFonts w:eastAsia="方正黑体_GBK"/>
                <w:snapToGrid w:val="0"/>
                <w:color w:val="000000"/>
                <w:sz w:val="20"/>
                <w:szCs w:val="20"/>
              </w:rPr>
            </w:pPr>
            <w:r>
              <w:rPr>
                <w:rFonts w:hint="eastAsia" w:asciiTheme="minorEastAsia" w:hAnsiTheme="minorEastAsia" w:eastAsiaTheme="minorEastAsia"/>
                <w:snapToGrid w:val="0"/>
                <w:sz w:val="20"/>
                <w:szCs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2EE7E2D">
            <w:pPr>
              <w:widowControl w:val="0"/>
              <w:adjustRightInd w:val="0"/>
              <w:snapToGrid w:val="0"/>
              <w:spacing w:line="280" w:lineRule="exact"/>
              <w:jc w:val="center"/>
              <w:rPr>
                <w:rFonts w:eastAsia="方正黑体_GBK"/>
                <w:snapToGrid w:val="0"/>
                <w:color w:val="000000"/>
                <w:sz w:val="20"/>
                <w:szCs w:val="20"/>
              </w:rPr>
            </w:pPr>
            <w:r>
              <w:rPr>
                <w:rFonts w:eastAsia="方正黑体_GBK"/>
                <w:snapToGrid w:val="0"/>
                <w:color w:val="000000"/>
                <w:sz w:val="20"/>
                <w:szCs w:val="20"/>
              </w:rPr>
              <w:t>1-</w:t>
            </w:r>
            <w:r>
              <w:rPr>
                <w:rFonts w:hint="eastAsia" w:eastAsia="方正黑体_GBK"/>
                <w:snapToGrid w:val="0"/>
                <w:color w:val="000000"/>
                <w:sz w:val="20"/>
                <w:szCs w:val="20"/>
              </w:rPr>
              <w:t>1</w:t>
            </w:r>
          </w:p>
        </w:tc>
      </w:tr>
      <w:tr w14:paraId="41BDE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1BA09DD">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9194CB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中国发明专利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AA0AB6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一种光热-热电协同催化剂及其制备方法、应用</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0DC3442">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ZL 2023 1 1682407.2</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ACD9767">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2026.04.03</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C361292">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王潇漾;苗蕾</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173682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广西大学</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370208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F9B910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E17EB8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46B25043">
            <w:pPr>
              <w:widowControl w:val="0"/>
              <w:adjustRightInd w:val="0"/>
              <w:snapToGrid w:val="0"/>
              <w:spacing w:line="280" w:lineRule="exact"/>
              <w:jc w:val="center"/>
              <w:rPr>
                <w:rFonts w:hint="eastAsia"/>
                <w:snapToGrid w:val="0"/>
                <w:sz w:val="20"/>
                <w:szCs w:val="20"/>
              </w:rPr>
            </w:pPr>
            <w:r>
              <w:rPr>
                <w:rFonts w:hint="eastAsia"/>
                <w:snapToGrid w:val="0"/>
                <w:sz w:val="20"/>
                <w:szCs w:val="20"/>
              </w:rPr>
              <w:t>1</w:t>
            </w:r>
            <w:r>
              <w:rPr>
                <w:snapToGrid w:val="0"/>
                <w:sz w:val="20"/>
                <w:szCs w:val="20"/>
              </w:rPr>
              <w:t>-</w:t>
            </w:r>
            <w:r>
              <w:rPr>
                <w:rFonts w:hint="eastAsia"/>
                <w:snapToGrid w:val="0"/>
                <w:sz w:val="20"/>
                <w:szCs w:val="20"/>
              </w:rPr>
              <w:t>2</w:t>
            </w:r>
          </w:p>
        </w:tc>
      </w:tr>
      <w:tr w14:paraId="0227C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51CD180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3</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41F6FD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中国发明专利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512D797">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一种可逆粘附的柔性半导体制冷器件及其制备方法和应用</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EE563B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ZL 2025 1 2037805.4</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12F559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w:t>
            </w:r>
            <w:r>
              <w:rPr>
                <w:rFonts w:hint="eastAsia" w:eastAsiaTheme="minorEastAsia"/>
                <w:snapToGrid w:val="0"/>
                <w:sz w:val="20"/>
                <w:lang w:val="en-US" w:eastAsia="zh-CN"/>
              </w:rPr>
              <w:t>6</w:t>
            </w:r>
            <w:r>
              <w:rPr>
                <w:rFonts w:hint="eastAsia" w:eastAsiaTheme="minorEastAsia"/>
                <w:snapToGrid w:val="0"/>
                <w:sz w:val="20"/>
              </w:rPr>
              <w:t>.04.24</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FF39A9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苗蕾;邓莹莹;朱思靖;刘立洋</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F7D40D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广西大学</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32D0B6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21B2C5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811DD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F635E5C">
            <w:pPr>
              <w:widowControl w:val="0"/>
              <w:adjustRightInd w:val="0"/>
              <w:snapToGrid w:val="0"/>
              <w:spacing w:line="280" w:lineRule="exact"/>
              <w:jc w:val="center"/>
              <w:rPr>
                <w:rFonts w:hint="eastAsia"/>
                <w:snapToGrid w:val="0"/>
                <w:sz w:val="20"/>
                <w:szCs w:val="20"/>
              </w:rPr>
            </w:pPr>
            <w:r>
              <w:rPr>
                <w:rFonts w:hint="eastAsia"/>
                <w:snapToGrid w:val="0"/>
                <w:sz w:val="20"/>
                <w:szCs w:val="20"/>
              </w:rPr>
              <w:t>1</w:t>
            </w:r>
            <w:r>
              <w:rPr>
                <w:snapToGrid w:val="0"/>
                <w:sz w:val="20"/>
                <w:szCs w:val="20"/>
              </w:rPr>
              <w:t>-</w:t>
            </w:r>
            <w:r>
              <w:rPr>
                <w:rFonts w:hint="eastAsia"/>
                <w:snapToGrid w:val="0"/>
                <w:sz w:val="20"/>
                <w:szCs w:val="20"/>
              </w:rPr>
              <w:t>3</w:t>
            </w:r>
          </w:p>
        </w:tc>
      </w:tr>
      <w:tr w14:paraId="23F7B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0D95D744">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4</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8700579">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中国发明专利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C8ECE8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一种高性能P型α-MgAgSb基热电材料及其制备方法</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D509815">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ab/>
            </w:r>
          </w:p>
          <w:p w14:paraId="5D959CC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ZL201810533904.9</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AD788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2022.04.15</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B10BCA2">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"https://xueshu.baidu.com/s?wd=author:(%E8%8B%97%E8%95%BE)%20&amp;tn=SE_baiduxueshu_c1gjeupa&amp;ie=utf-8&amp;sc_f_para=sc_hilight=person"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苗蕾</w:t>
            </w:r>
            <w:r>
              <w:rPr>
                <w:rFonts w:hint="eastAsia" w:eastAsiaTheme="minorEastAsia"/>
                <w:snapToGrid w:val="0"/>
                <w:sz w:val="20"/>
              </w:rPr>
              <w:fldChar w:fldCharType="end"/>
            </w:r>
            <w:r>
              <w:rPr>
                <w:rFonts w:hint="eastAsia" w:eastAsiaTheme="minorEastAsia"/>
                <w:snapToGrid w:val="0"/>
                <w:sz w:val="20"/>
              </w:rPr>
              <w:t>;</w:t>
            </w: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"https://xueshu.baidu.com/s?wd=author:(%E9%83%91%E5%B2%A9%E5%B2%A9)%20&amp;tn=SE_baiduxueshu_c1gjeupa&amp;ie=utf-8&amp;sc_f_para=sc_hilight=person"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郑岩岩</w:t>
            </w:r>
            <w:r>
              <w:rPr>
                <w:rFonts w:hint="eastAsia" w:eastAsiaTheme="minorEastAsia"/>
                <w:snapToGrid w:val="0"/>
                <w:sz w:val="20"/>
              </w:rPr>
              <w:fldChar w:fldCharType="end"/>
            </w:r>
            <w:r>
              <w:rPr>
                <w:rFonts w:hint="eastAsia" w:eastAsiaTheme="minorEastAsia"/>
                <w:snapToGrid w:val="0"/>
                <w:sz w:val="20"/>
              </w:rPr>
              <w:t>;</w:t>
            </w: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"https://xueshu.baidu.com/s?wd=author:(%E5%88%98%E5%91%88%E7%87%95)%20&amp;tn=SE_baiduxueshu_c1gjeupa&amp;ie=utf-8&amp;sc_f_para=sc_hilight=person"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刘呈燕</w:t>
            </w:r>
            <w:r>
              <w:rPr>
                <w:rFonts w:hint="eastAsia" w:eastAsiaTheme="minorEastAsia"/>
                <w:snapToGrid w:val="0"/>
                <w:sz w:val="20"/>
              </w:rPr>
              <w:fldChar w:fldCharType="end"/>
            </w:r>
            <w:r>
              <w:rPr>
                <w:rFonts w:hint="eastAsia" w:eastAsiaTheme="minorEastAsia"/>
                <w:snapToGrid w:val="0"/>
                <w:sz w:val="20"/>
              </w:rPr>
              <w:t>;</w:t>
            </w: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"https://xueshu.baidu.com/s?wd=author:(%E9%AB%98%E6%9D%B0)%20&amp;tn=SE_baiduxueshu_c1gjeupa&amp;ie=utf-8&amp;sc_f_para=sc_hilight=person"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高杰</w:t>
            </w:r>
            <w:r>
              <w:rPr>
                <w:rFonts w:hint="eastAsia" w:eastAsiaTheme="minorEastAsia"/>
                <w:snapToGrid w:val="0"/>
                <w:sz w:val="20"/>
              </w:rPr>
              <w:fldChar w:fldCharType="end"/>
            </w:r>
            <w:r>
              <w:rPr>
                <w:rFonts w:hint="eastAsia" w:eastAsiaTheme="minorEastAsia"/>
                <w:snapToGrid w:val="0"/>
                <w:sz w:val="20"/>
              </w:rPr>
              <w:t>;</w:t>
            </w: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"https://xueshu.baidu.com/s?wd=author:(%E9%99%88%E4%BF%8A%E8%89%AF)%20&amp;tn=SE_baiduxueshu_c1gjeupa&amp;ie=utf-8&amp;sc_f_para=sc_hilight=person"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陈俊良</w:t>
            </w:r>
            <w:r>
              <w:rPr>
                <w:rFonts w:hint="eastAsia" w:eastAsiaTheme="minorEastAsia"/>
                <w:snapToGrid w:val="0"/>
                <w:sz w:val="20"/>
              </w:rPr>
              <w:fldChar w:fldCharType="end"/>
            </w:r>
            <w:r>
              <w:rPr>
                <w:rFonts w:hint="eastAsia" w:eastAsiaTheme="minorEastAsia"/>
                <w:snapToGrid w:val="0"/>
                <w:sz w:val="20"/>
              </w:rPr>
              <w:t>;</w:t>
            </w:r>
            <w:r>
              <w:rPr>
                <w:rFonts w:hint="eastAsia" w:eastAsiaTheme="minorEastAsia"/>
                <w:snapToGrid w:val="0"/>
                <w:sz w:val="20"/>
              </w:rPr>
              <w:fldChar w:fldCharType="begin"/>
            </w:r>
            <w:r>
              <w:rPr>
                <w:rFonts w:hint="eastAsia" w:eastAsiaTheme="minorEastAsia"/>
                <w:snapToGrid w:val="0"/>
                <w:sz w:val="20"/>
              </w:rPr>
              <w:instrText xml:space="preserve"> HYPERLINK "https://xueshu.baidu.com/s?wd=author:(%E7%8E%8B%E6%BD%87%E6%BC%BE)%20&amp;tn=SE_baiduxueshu_c1gjeupa&amp;ie=utf-8&amp;sc_f_para=sc_hilight=person" \t "https://xueshu.baidu.com/ndscholar/browse/_blank" </w:instrText>
            </w:r>
            <w:r>
              <w:rPr>
                <w:rFonts w:hint="eastAsia" w:eastAsiaTheme="minorEastAsia"/>
                <w:snapToGrid w:val="0"/>
                <w:sz w:val="20"/>
              </w:rPr>
              <w:fldChar w:fldCharType="separate"/>
            </w:r>
            <w:r>
              <w:rPr>
                <w:rFonts w:hint="eastAsia" w:eastAsiaTheme="minorEastAsia"/>
                <w:snapToGrid w:val="0"/>
                <w:sz w:val="20"/>
              </w:rPr>
              <w:t>王潇漾</w:t>
            </w:r>
            <w:r>
              <w:rPr>
                <w:rFonts w:hint="eastAsia" w:eastAsiaTheme="minorEastAsia"/>
                <w:snapToGrid w:val="0"/>
                <w:sz w:val="20"/>
              </w:rPr>
              <w:fldChar w:fldCharType="end"/>
            </w:r>
          </w:p>
          <w:p w14:paraId="4CF5D03F">
            <w:pPr>
              <w:widowControl w:val="0"/>
              <w:adjustRightInd w:val="0"/>
              <w:snapToGrid w:val="0"/>
              <w:spacing w:line="280" w:lineRule="exact"/>
              <w:jc w:val="center"/>
              <w:rPr>
                <w:rFonts w:hint="eastAsia" w:eastAsiaTheme="minorEastAsia"/>
                <w:snapToGrid w:val="0"/>
                <w:sz w:val="20"/>
              </w:rPr>
            </w:pP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42EEB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桂林电子科技大学</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BCD60B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1040BB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342775F">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67EA5625">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w:t>
            </w:r>
            <w:r>
              <w:rPr>
                <w:rFonts w:hint="eastAsia"/>
                <w:snapToGrid w:val="0"/>
                <w:sz w:val="20"/>
                <w:szCs w:val="20"/>
              </w:rPr>
              <w:t>4</w:t>
            </w:r>
          </w:p>
        </w:tc>
      </w:tr>
      <w:tr w14:paraId="704D5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709E578A">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5</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5912F57">
            <w:pPr>
              <w:widowControl w:val="0"/>
              <w:adjustRightInd w:val="0"/>
              <w:snapToGrid w:val="0"/>
              <w:spacing w:line="280" w:lineRule="exact"/>
              <w:jc w:val="center"/>
              <w:rPr>
                <w:rFonts w:eastAsia="方正黑体_GBK"/>
                <w:snapToGrid w:val="0"/>
                <w:color w:val="000000"/>
                <w:sz w:val="18"/>
                <w:szCs w:val="18"/>
                <w:highlight w:val="green"/>
              </w:rPr>
            </w:pPr>
            <w:r>
              <w:rPr>
                <w:rFonts w:hint="eastAsia" w:eastAsiaTheme="minorEastAsia"/>
                <w:snapToGrid w:val="0"/>
                <w:sz w:val="20"/>
              </w:rPr>
              <w:t>中国发明专利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DD1C6C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一种柔性异形厚膜热电器件的制备方法</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3C4175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ZL202111531548.5</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C023E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2025.10.03</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845899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刘呈燕;程怡然;余中海;张勇;苗蕾</w:t>
            </w:r>
          </w:p>
          <w:p w14:paraId="0A2EDADF">
            <w:pPr>
              <w:widowControl w:val="0"/>
              <w:adjustRightInd w:val="0"/>
              <w:snapToGrid w:val="0"/>
              <w:spacing w:line="280" w:lineRule="exact"/>
              <w:jc w:val="center"/>
              <w:rPr>
                <w:rFonts w:hint="eastAsia" w:eastAsiaTheme="minorEastAsia"/>
                <w:snapToGrid w:val="0"/>
                <w:sz w:val="20"/>
              </w:rPr>
            </w:pP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28F511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桂林电子科技大学</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F269C0D">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3D5724">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44F7A9">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BDE0AB3">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w:t>
            </w:r>
            <w:r>
              <w:rPr>
                <w:rFonts w:hint="eastAsia"/>
                <w:snapToGrid w:val="0"/>
                <w:sz w:val="20"/>
                <w:szCs w:val="20"/>
              </w:rPr>
              <w:t>5</w:t>
            </w:r>
          </w:p>
        </w:tc>
      </w:tr>
      <w:tr w14:paraId="7C3C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2CE75B0">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6</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585C21F">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中国发明专利</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774E94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一种高性能石榴石结构锂离子固态电解质片的常压烧结方法</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B26A767">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ZL202410811628.3</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4F10D5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2026.03.27</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E9A4E7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高杰;杨国东;苗蕾;王潇漾;姜圆圆;左俊杰</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0C15FD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桂林电子科技大学;广西大学;广西玉柴机器股份有限公司</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58558C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7AA7B5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24AA9C9">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56058D7">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w:t>
            </w:r>
            <w:r>
              <w:rPr>
                <w:rFonts w:hint="eastAsia"/>
                <w:snapToGrid w:val="0"/>
                <w:sz w:val="20"/>
                <w:szCs w:val="20"/>
              </w:rPr>
              <w:t>6</w:t>
            </w:r>
          </w:p>
        </w:tc>
      </w:tr>
      <w:tr w14:paraId="062EF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6484B3EC">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7</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1F74637">
            <w:pPr>
              <w:widowControl w:val="0"/>
              <w:adjustRightInd w:val="0"/>
              <w:snapToGrid w:val="0"/>
              <w:spacing w:line="280" w:lineRule="exact"/>
              <w:jc w:val="center"/>
              <w:rPr>
                <w:rFonts w:eastAsia="方正黑体_GBK"/>
                <w:snapToGrid w:val="0"/>
                <w:color w:val="000000"/>
                <w:sz w:val="18"/>
                <w:szCs w:val="18"/>
              </w:rPr>
            </w:pPr>
            <w:r>
              <w:rPr>
                <w:rFonts w:hint="eastAsia" w:eastAsiaTheme="minorEastAsia"/>
                <w:snapToGrid w:val="0"/>
                <w:sz w:val="20"/>
              </w:rPr>
              <w:t>行业标准</w:t>
            </w:r>
          </w:p>
        </w:tc>
        <w:tc>
          <w:tcPr>
            <w:tcW w:w="368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64D91E3">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半导体温差发电器件总规范</w:t>
            </w:r>
          </w:p>
        </w:tc>
        <w:tc>
          <w:tcPr>
            <w:tcW w:w="141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8E26624">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SJ/T12198-2026</w:t>
            </w:r>
          </w:p>
        </w:tc>
        <w:tc>
          <w:tcPr>
            <w:tcW w:w="992"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0754127">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D51595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阚宗祥;杨荣贵;赵怀周;陈树山;吕冬翔;任保国;齐雅青;樊希安;申利梅;朱航天;李国栋;姜鹏;贾文博;陈建民;池桂君;李名磊;周波;马丙戌;折晓会;周娜;胡晓明;张文涛;陈磊;赵德欣;赵毅航;朱博文;赵琪;胡浩;张健彬</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4DD7F8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香河东方电子有限公司;中国科学院物理研究所;中国电子科技集团公司第十八研究所;工业和信息化部电子第五研究所;华中科技大学;武汉科技大学;中国科学院大连化学物理研究所;河南鸿昌电子有限公司;湖北赛格瑞新能源科技有限公司;石家庄铁道大学;北京睿晖科技发展有限公司;度晶科技(北京)有限公司</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073245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中华人民共和国工业和信息化部</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C4692A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A73B64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否</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2423A2F2">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w:t>
            </w:r>
            <w:r>
              <w:rPr>
                <w:rFonts w:hint="eastAsia"/>
                <w:snapToGrid w:val="0"/>
                <w:sz w:val="20"/>
                <w:szCs w:val="20"/>
              </w:rPr>
              <w:t>7</w:t>
            </w:r>
          </w:p>
        </w:tc>
      </w:tr>
      <w:tr w14:paraId="001FB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22A4C07C">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8</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5792140">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团体标准</w:t>
            </w:r>
          </w:p>
        </w:tc>
        <w:tc>
          <w:tcPr>
            <w:tcW w:w="368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2FD63AD">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微型半导体制冷芯片技术规范</w:t>
            </w:r>
          </w:p>
        </w:tc>
        <w:tc>
          <w:tcPr>
            <w:tcW w:w="141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DE5AC01">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T/CIET 1501-2025</w:t>
            </w:r>
          </w:p>
        </w:tc>
        <w:tc>
          <w:tcPr>
            <w:tcW w:w="992"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F047922">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2025</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9A7CDDD">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吴永利;刘锋铭;黄庆军; 郝国文;阚宗祥;洪律冰;彭德权;刘宏;张伟;张强;赵琪;顾晓凤;桑彧;赵德欣;戈镇洲; 陈金伟;刘岩;汪贤峰;乔桂凤;马水苹;徐敬铭;包瑾;李晓宇;膝阔</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591803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通标中研标准化技术研究院（北京）有限公司;广西自贸区见炬科技有限公司;江西纳米克热电电子股份有限公司;秦皇岛富连京电子股份有限公司;北京睿晖科技发展有限公司;四川攀西蹄铋产业技术研究院有限责任公司;苏州窄带半导体科技有限公司;金堂阔山科技有限公司;途邦认证有限公司</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9EF704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中国国际经济技术合作促进会标准化工作委员会</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1B42306">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有效</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6B069F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否</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28DEA2FE">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w:t>
            </w:r>
            <w:r>
              <w:rPr>
                <w:rFonts w:hint="eastAsia"/>
                <w:snapToGrid w:val="0"/>
                <w:sz w:val="20"/>
                <w:szCs w:val="20"/>
              </w:rPr>
              <w:t>8</w:t>
            </w:r>
          </w:p>
        </w:tc>
      </w:tr>
      <w:tr w14:paraId="20375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6E308597">
            <w:pPr>
              <w:widowControl w:val="0"/>
              <w:adjustRightInd w:val="0"/>
              <w:snapToGrid w:val="0"/>
              <w:spacing w:line="280" w:lineRule="exact"/>
              <w:jc w:val="center"/>
              <w:rPr>
                <w:rFonts w:eastAsiaTheme="minorEastAsia"/>
                <w:snapToGrid w:val="0"/>
                <w:sz w:val="20"/>
              </w:rPr>
            </w:pPr>
            <w:bookmarkStart w:id="11" w:name="_Hlk240378736"/>
            <w:r>
              <w:rPr>
                <w:rFonts w:hint="eastAsia" w:eastAsiaTheme="minorEastAsia"/>
                <w:snapToGrid w:val="0"/>
                <w:sz w:val="20"/>
              </w:rPr>
              <w:t>9</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681F308">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期刊论文</w:t>
            </w:r>
          </w:p>
        </w:tc>
        <w:tc>
          <w:tcPr>
            <w:tcW w:w="368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255597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 xml:space="preserve">Review on </w:t>
            </w:r>
            <w:r>
              <w:rPr>
                <w:rFonts w:hint="eastAsia" w:eastAsiaTheme="minorEastAsia"/>
                <w:snapToGrid w:val="0"/>
                <w:sz w:val="20"/>
                <w:lang w:val="en-US" w:eastAsia="zh-CN"/>
              </w:rPr>
              <w:t>w</w:t>
            </w:r>
            <w:r>
              <w:rPr>
                <w:rFonts w:hint="eastAsia" w:eastAsiaTheme="minorEastAsia"/>
                <w:snapToGrid w:val="0"/>
                <w:sz w:val="20"/>
              </w:rPr>
              <w:t xml:space="preserve">earable thermoelectric </w:t>
            </w:r>
            <w:r>
              <w:rPr>
                <w:rFonts w:hint="eastAsia" w:eastAsiaTheme="minorEastAsia"/>
                <w:snapToGrid w:val="0"/>
                <w:sz w:val="20"/>
                <w:lang w:val="en-US" w:eastAsia="zh-CN"/>
              </w:rPr>
              <w:t>g</w:t>
            </w:r>
            <w:r>
              <w:rPr>
                <w:rFonts w:hint="eastAsia" w:eastAsiaTheme="minorEastAsia"/>
                <w:snapToGrid w:val="0"/>
                <w:sz w:val="20"/>
              </w:rPr>
              <w:t xml:space="preserve">enerators: </w:t>
            </w:r>
            <w:r>
              <w:rPr>
                <w:rFonts w:hint="eastAsia" w:eastAsiaTheme="minorEastAsia"/>
                <w:snapToGrid w:val="0"/>
                <w:sz w:val="20"/>
                <w:lang w:val="en-US" w:eastAsia="zh-CN"/>
              </w:rPr>
              <w:t>f</w:t>
            </w:r>
            <w:r>
              <w:rPr>
                <w:rFonts w:hint="eastAsia" w:eastAsiaTheme="minorEastAsia"/>
                <w:snapToGrid w:val="0"/>
                <w:sz w:val="20"/>
              </w:rPr>
              <w:t xml:space="preserve">rom </w:t>
            </w:r>
            <w:r>
              <w:rPr>
                <w:rFonts w:hint="eastAsia" w:eastAsiaTheme="minorEastAsia"/>
                <w:snapToGrid w:val="0"/>
                <w:sz w:val="20"/>
                <w:lang w:val="en-US" w:eastAsia="zh-CN"/>
              </w:rPr>
              <w:t>d</w:t>
            </w:r>
            <w:r>
              <w:rPr>
                <w:rFonts w:hint="eastAsia" w:eastAsiaTheme="minorEastAsia"/>
                <w:snapToGrid w:val="0"/>
                <w:sz w:val="20"/>
              </w:rPr>
              <w:t>evices</w:t>
            </w:r>
            <w:r>
              <w:rPr>
                <w:rFonts w:hint="eastAsia" w:eastAsiaTheme="minorEastAsia"/>
                <w:snapToGrid w:val="0"/>
                <w:sz w:val="20"/>
                <w:lang w:val="en-US" w:eastAsia="zh-CN"/>
              </w:rPr>
              <w:t xml:space="preserve"> </w:t>
            </w:r>
            <w:r>
              <w:rPr>
                <w:rFonts w:hint="eastAsia" w:eastAsiaTheme="minorEastAsia"/>
                <w:snapToGrid w:val="0"/>
                <w:sz w:val="20"/>
              </w:rPr>
              <w:t xml:space="preserve">to </w:t>
            </w:r>
            <w:r>
              <w:rPr>
                <w:rFonts w:hint="eastAsia" w:eastAsiaTheme="minorEastAsia"/>
                <w:snapToGrid w:val="0"/>
                <w:sz w:val="20"/>
                <w:lang w:val="en-US" w:eastAsia="zh-CN"/>
              </w:rPr>
              <w:t>a</w:t>
            </w:r>
            <w:r>
              <w:rPr>
                <w:rFonts w:hint="eastAsia" w:eastAsiaTheme="minorEastAsia"/>
                <w:snapToGrid w:val="0"/>
                <w:sz w:val="20"/>
              </w:rPr>
              <w:t>pplications</w:t>
            </w:r>
          </w:p>
        </w:tc>
        <w:tc>
          <w:tcPr>
            <w:tcW w:w="141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F550E3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2022, 15, 3375.</w:t>
            </w:r>
          </w:p>
        </w:tc>
        <w:tc>
          <w:tcPr>
            <w:tcW w:w="992"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D0FC087">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2022</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059E5B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朱思靖;凡铮; 冯保全;施润泽;江泽鑫; 彭英;高杰;苗蕾;Kunihito Koumoto（河本邦仁）</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3CF76A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桂林电子科技大学;广西大学;名古屋工业科学研究所;阿卜杜勒阿齐兹国王大学</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9089DB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Energies</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A9771A3">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苗蕾</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EEF533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2E58D02F">
            <w:pPr>
              <w:widowControl w:val="0"/>
              <w:adjustRightInd w:val="0"/>
              <w:snapToGrid w:val="0"/>
              <w:spacing w:line="280" w:lineRule="exact"/>
              <w:jc w:val="center"/>
              <w:rPr>
                <w:rFonts w:asciiTheme="minorEastAsia" w:hAnsiTheme="minorEastAsia" w:eastAsiaTheme="minorEastAsia"/>
                <w:snapToGrid w:val="0"/>
                <w:color w:val="000000"/>
                <w:sz w:val="20"/>
                <w:szCs w:val="20"/>
              </w:rPr>
            </w:pPr>
            <w:r>
              <w:rPr>
                <w:rFonts w:hint="eastAsia" w:asciiTheme="minorEastAsia" w:hAnsiTheme="minorEastAsia" w:eastAsiaTheme="minorEastAsia"/>
                <w:snapToGrid w:val="0"/>
                <w:sz w:val="20"/>
                <w:szCs w:val="20"/>
              </w:rPr>
              <w:t>1</w:t>
            </w:r>
            <w:r>
              <w:rPr>
                <w:rFonts w:asciiTheme="minorEastAsia" w:hAnsiTheme="minorEastAsia" w:eastAsiaTheme="minorEastAsia"/>
                <w:snapToGrid w:val="0"/>
                <w:sz w:val="20"/>
                <w:szCs w:val="20"/>
              </w:rPr>
              <w:t>-</w:t>
            </w:r>
            <w:r>
              <w:rPr>
                <w:rFonts w:hint="eastAsia" w:asciiTheme="minorEastAsia" w:hAnsiTheme="minorEastAsia" w:eastAsiaTheme="minorEastAsia"/>
                <w:snapToGrid w:val="0"/>
                <w:sz w:val="20"/>
                <w:szCs w:val="20"/>
              </w:rPr>
              <w:t>9</w:t>
            </w:r>
          </w:p>
        </w:tc>
      </w:tr>
      <w:tr w14:paraId="146512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76B1EC23">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10</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22BCF2E7">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期刊论文</w:t>
            </w:r>
          </w:p>
        </w:tc>
        <w:tc>
          <w:tcPr>
            <w:tcW w:w="368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5BF48E1">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Synergistic shallow impurity levels and multiscale defect engineering in GeTe-based thermoelectrics</w:t>
            </w:r>
          </w:p>
        </w:tc>
        <w:tc>
          <w:tcPr>
            <w:tcW w:w="141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565BCC15">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2026, 15, 9221258.</w:t>
            </w:r>
          </w:p>
        </w:tc>
        <w:tc>
          <w:tcPr>
            <w:tcW w:w="992"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AB1347F">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B37B113">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张忠玮;毛凤婷;姚敏;赵世原;朱思靖;潘政牛;陈俊良; 张智翔;周琦; 张文涛;陈建民;高杰;苗蕾</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290DD93">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广西大学;桂林电子科技大学;河南鸿昌电子有限公司</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4A9128A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Journalof Advanced Ceramics</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DD200E9">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苗蕾</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3C79CDD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27DAEA8E">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-1</w:t>
            </w:r>
            <w:r>
              <w:rPr>
                <w:rFonts w:hint="eastAsia"/>
                <w:snapToGrid w:val="0"/>
                <w:sz w:val="20"/>
                <w:szCs w:val="20"/>
              </w:rPr>
              <w:t>0</w:t>
            </w:r>
          </w:p>
        </w:tc>
      </w:tr>
      <w:tr w14:paraId="432718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4AD44AB">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11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630438A">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期刊论文</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49BE2C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Multilayer Gradient PVA/SiO</w:t>
            </w:r>
            <w:r>
              <w:rPr>
                <w:rFonts w:hint="eastAsia" w:eastAsiaTheme="minorEastAsia"/>
                <w:snapToGrid w:val="0"/>
                <w:sz w:val="20"/>
                <w:vertAlign w:val="subscript"/>
              </w:rPr>
              <w:t>2</w:t>
            </w:r>
            <w:r>
              <w:rPr>
                <w:rFonts w:hint="eastAsia" w:eastAsiaTheme="minorEastAsia"/>
                <w:snapToGrid w:val="0"/>
                <w:sz w:val="20"/>
              </w:rPr>
              <w:t xml:space="preserve"> Aerogel Composites with Enhanced Thermal Insulation and Structural Integrity</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B58618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2025, 0, 1-9</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8A28BC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2025</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EDA18CE">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张丹丹;王潇漾;周祖雄;许家友;洪立秋; 苗蕾</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FF66EC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广州大学;广西大学</w:t>
            </w:r>
            <w:bookmarkStart w:id="12" w:name="OLE_LINK1"/>
            <w:bookmarkStart w:id="13" w:name="OLE_LINK2"/>
            <w:r>
              <w:rPr>
                <w:rFonts w:hint="eastAsia" w:eastAsiaTheme="minorEastAsia"/>
                <w:snapToGrid w:val="0"/>
                <w:sz w:val="20"/>
              </w:rPr>
              <w:t>;广西安鑫新材料科技有限公司</w:t>
            </w:r>
            <w:bookmarkEnd w:id="12"/>
            <w:bookmarkEnd w:id="13"/>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C0591C1">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Polymer Engineering and Science</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CB56683">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许家友; 苗蕾</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62AA1C9">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C8D489A">
            <w:pPr>
              <w:widowControl w:val="0"/>
              <w:adjustRightInd w:val="0"/>
              <w:snapToGrid w:val="0"/>
              <w:spacing w:line="280" w:lineRule="exact"/>
              <w:jc w:val="center"/>
              <w:rPr>
                <w:rFonts w:eastAsia="方正黑体_GBK"/>
                <w:snapToGrid w:val="0"/>
                <w:color w:val="000000"/>
                <w:sz w:val="20"/>
                <w:szCs w:val="20"/>
              </w:rPr>
            </w:pPr>
            <w:r>
              <w:rPr>
                <w:rFonts w:hint="eastAsia"/>
                <w:snapToGrid w:val="0"/>
                <w:sz w:val="20"/>
                <w:szCs w:val="20"/>
              </w:rPr>
              <w:t>1</w:t>
            </w:r>
            <w:r>
              <w:rPr>
                <w:snapToGrid w:val="0"/>
                <w:sz w:val="20"/>
                <w:szCs w:val="20"/>
              </w:rPr>
              <w:t>-1</w:t>
            </w:r>
            <w:r>
              <w:rPr>
                <w:rFonts w:hint="eastAsia"/>
                <w:snapToGrid w:val="0"/>
                <w:sz w:val="20"/>
                <w:szCs w:val="20"/>
              </w:rPr>
              <w:t>1</w:t>
            </w:r>
          </w:p>
        </w:tc>
      </w:tr>
      <w:tr w14:paraId="58A9EB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3E1BCA82">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12</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B34A59B">
            <w:pPr>
              <w:widowControl w:val="0"/>
              <w:adjustRightInd w:val="0"/>
              <w:snapToGrid w:val="0"/>
              <w:spacing w:line="280" w:lineRule="exact"/>
              <w:jc w:val="center"/>
              <w:rPr>
                <w:rFonts w:eastAsiaTheme="minorEastAsia"/>
                <w:snapToGrid w:val="0"/>
                <w:sz w:val="20"/>
              </w:rPr>
            </w:pPr>
            <w:r>
              <w:rPr>
                <w:rFonts w:hint="eastAsia" w:eastAsiaTheme="minorEastAsia"/>
                <w:snapToGrid w:val="0"/>
                <w:sz w:val="20"/>
              </w:rPr>
              <w:t>期刊论文</w:t>
            </w:r>
          </w:p>
        </w:tc>
        <w:tc>
          <w:tcPr>
            <w:tcW w:w="368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DC216FB">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Se、S 共掺杂策略提升n 型碲化铋近室温热电性能</w:t>
            </w:r>
          </w:p>
        </w:tc>
        <w:tc>
          <w:tcPr>
            <w:tcW w:w="141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9F875B2">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 47(4): 812–821</w:t>
            </w:r>
          </w:p>
        </w:tc>
        <w:tc>
          <w:tcPr>
            <w:tcW w:w="992"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BC817B0">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2026</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641959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黄培善;刘呈燕;陈俊良;周建华;张智翔;梁慧婷;司洛鸿;毛永宁;柯善军</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15068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桂林电子科技大学;湖南人文科技学院;广西欧神诺陶瓷有限公司</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AA8D4EA">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陶瓷学报</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9FD0DB8">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刘呈燕，陈俊良</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C04174C">
            <w:pPr>
              <w:widowControl w:val="0"/>
              <w:adjustRightInd w:val="0"/>
              <w:snapToGrid w:val="0"/>
              <w:spacing w:line="280" w:lineRule="exact"/>
              <w:jc w:val="center"/>
              <w:rPr>
                <w:rFonts w:hint="eastAsia" w:eastAsiaTheme="minorEastAsia"/>
                <w:snapToGrid w:val="0"/>
                <w:sz w:val="20"/>
              </w:rPr>
            </w:pPr>
            <w:r>
              <w:rPr>
                <w:rFonts w:hint="eastAsia" w:eastAsiaTheme="minorEastAsia"/>
                <w:snapToGrid w:val="0"/>
                <w:sz w:val="20"/>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03FE9515">
            <w:pPr>
              <w:widowControl w:val="0"/>
              <w:adjustRightInd w:val="0"/>
              <w:snapToGrid w:val="0"/>
              <w:spacing w:line="280" w:lineRule="exact"/>
              <w:jc w:val="center"/>
              <w:rPr>
                <w:snapToGrid w:val="0"/>
                <w:sz w:val="20"/>
                <w:szCs w:val="20"/>
              </w:rPr>
            </w:pPr>
            <w:r>
              <w:rPr>
                <w:rFonts w:hint="eastAsia"/>
                <w:snapToGrid w:val="0"/>
                <w:sz w:val="20"/>
                <w:szCs w:val="20"/>
              </w:rPr>
              <w:t>1-12</w:t>
            </w:r>
          </w:p>
        </w:tc>
      </w:tr>
      <w:bookmarkEnd w:id="11"/>
    </w:tbl>
    <w:p w14:paraId="52707DF5">
      <w:pPr>
        <w:widowControl w:val="0"/>
        <w:adjustRightInd w:val="0"/>
        <w:snapToGrid w:val="0"/>
        <w:spacing w:line="406" w:lineRule="exact"/>
        <w:jc w:val="center"/>
        <w:rPr>
          <w:rFonts w:ascii="仿宋" w:hAnsi="仿宋" w:eastAsia="仿宋"/>
          <w:b/>
          <w:snapToGrid w:val="0"/>
          <w:color w:val="000000"/>
          <w:szCs w:val="32"/>
        </w:rPr>
      </w:pPr>
      <w:r>
        <w:rPr>
          <w:rFonts w:eastAsia="方正仿宋_GBK"/>
          <w:snapToGrid w:val="0"/>
          <w:color w:val="000000"/>
          <w:sz w:val="28"/>
          <w:szCs w:val="28"/>
        </w:rPr>
        <w:br w:type="page"/>
      </w:r>
      <w:bookmarkStart w:id="14" w:name="_Toc72834352"/>
      <w:bookmarkEnd w:id="14"/>
      <w:bookmarkStart w:id="15" w:name="_Toc70090948"/>
      <w:bookmarkEnd w:id="15"/>
      <w:bookmarkStart w:id="16" w:name="_Toc72832477"/>
      <w:r>
        <w:rPr>
          <w:rFonts w:hint="eastAsia" w:ascii="仿宋" w:hAnsi="仿宋" w:eastAsia="仿宋"/>
          <w:b/>
          <w:snapToGrid w:val="0"/>
          <w:color w:val="000000"/>
          <w:szCs w:val="32"/>
        </w:rPr>
        <w:t>二</w:t>
      </w:r>
      <w:r>
        <w:rPr>
          <w:rFonts w:ascii="仿宋" w:hAnsi="仿宋" w:eastAsia="仿宋"/>
          <w:b/>
          <w:snapToGrid w:val="0"/>
          <w:color w:val="000000"/>
          <w:szCs w:val="32"/>
        </w:rPr>
        <w:t>、科普作品目录（1部）</w:t>
      </w:r>
      <w:bookmarkEnd w:id="16"/>
    </w:p>
    <w:p w14:paraId="409D04C8">
      <w:pPr>
        <w:widowControl w:val="0"/>
        <w:adjustRightInd w:val="0"/>
        <w:snapToGrid w:val="0"/>
        <w:spacing w:line="406" w:lineRule="exact"/>
        <w:jc w:val="center"/>
        <w:rPr>
          <w:rFonts w:ascii="仿宋" w:hAnsi="仿宋" w:eastAsia="仿宋"/>
          <w:b/>
          <w:snapToGrid w:val="0"/>
          <w:color w:val="000000"/>
          <w:szCs w:val="32"/>
        </w:rPr>
      </w:pPr>
      <w:r>
        <w:rPr>
          <w:rFonts w:ascii="仿宋" w:hAnsi="仿宋" w:eastAsia="仿宋"/>
          <w:b/>
          <w:snapToGrid w:val="0"/>
          <w:color w:val="000000"/>
          <w:szCs w:val="32"/>
        </w:rPr>
        <w:t>（适用于科学技术普及类）</w:t>
      </w:r>
    </w:p>
    <w:tbl>
      <w:tblPr>
        <w:tblStyle w:val="9"/>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892"/>
        <w:gridCol w:w="992"/>
        <w:gridCol w:w="1134"/>
        <w:gridCol w:w="1134"/>
        <w:gridCol w:w="1843"/>
        <w:gridCol w:w="1276"/>
        <w:gridCol w:w="1417"/>
        <w:gridCol w:w="1701"/>
        <w:gridCol w:w="993"/>
      </w:tblGrid>
      <w:tr w14:paraId="54AE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vAlign w:val="center"/>
          </w:tcPr>
          <w:p w14:paraId="62CD5242">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序号</w:t>
            </w:r>
          </w:p>
        </w:tc>
        <w:tc>
          <w:tcPr>
            <w:tcW w:w="2892" w:type="dxa"/>
            <w:tcBorders>
              <w:top w:val="single" w:color="auto" w:sz="4" w:space="0"/>
              <w:left w:val="nil"/>
              <w:bottom w:val="single" w:color="auto" w:sz="4" w:space="0"/>
              <w:right w:val="single" w:color="auto" w:sz="4" w:space="0"/>
            </w:tcBorders>
            <w:vAlign w:val="center"/>
          </w:tcPr>
          <w:p w14:paraId="79D99380">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科普作品名称</w:t>
            </w:r>
          </w:p>
        </w:tc>
        <w:tc>
          <w:tcPr>
            <w:tcW w:w="992" w:type="dxa"/>
            <w:tcBorders>
              <w:top w:val="single" w:color="auto" w:sz="4" w:space="0"/>
              <w:left w:val="nil"/>
              <w:bottom w:val="single" w:color="auto" w:sz="4" w:space="0"/>
              <w:right w:val="single" w:color="auto" w:sz="4" w:space="0"/>
            </w:tcBorders>
            <w:vAlign w:val="center"/>
          </w:tcPr>
          <w:p w14:paraId="2AFC9A6D">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版号</w:t>
            </w:r>
          </w:p>
        </w:tc>
        <w:tc>
          <w:tcPr>
            <w:tcW w:w="1134" w:type="dxa"/>
            <w:tcBorders>
              <w:top w:val="single" w:color="auto" w:sz="4" w:space="0"/>
              <w:left w:val="nil"/>
              <w:bottom w:val="single" w:color="auto" w:sz="4" w:space="0"/>
              <w:right w:val="single" w:color="auto" w:sz="4" w:space="0"/>
            </w:tcBorders>
            <w:vAlign w:val="center"/>
          </w:tcPr>
          <w:p w14:paraId="37BD0411">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作者</w:t>
            </w:r>
          </w:p>
        </w:tc>
        <w:tc>
          <w:tcPr>
            <w:tcW w:w="1134" w:type="dxa"/>
            <w:tcBorders>
              <w:top w:val="single" w:color="auto" w:sz="4" w:space="0"/>
              <w:left w:val="nil"/>
              <w:bottom w:val="single" w:color="auto" w:sz="4" w:space="0"/>
              <w:right w:val="single" w:color="auto" w:sz="4" w:space="0"/>
            </w:tcBorders>
            <w:vAlign w:val="center"/>
          </w:tcPr>
          <w:p w14:paraId="6951CA0E">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出版时间（年月日）</w:t>
            </w:r>
          </w:p>
        </w:tc>
        <w:tc>
          <w:tcPr>
            <w:tcW w:w="1843" w:type="dxa"/>
            <w:tcBorders>
              <w:top w:val="single" w:color="auto" w:sz="4" w:space="0"/>
              <w:left w:val="nil"/>
              <w:bottom w:val="single" w:color="auto" w:sz="4" w:space="0"/>
              <w:right w:val="single" w:color="auto" w:sz="4" w:space="0"/>
            </w:tcBorders>
            <w:vAlign w:val="center"/>
          </w:tcPr>
          <w:p w14:paraId="01C158AD">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出版单位</w:t>
            </w:r>
          </w:p>
        </w:tc>
        <w:tc>
          <w:tcPr>
            <w:tcW w:w="1276" w:type="dxa"/>
            <w:tcBorders>
              <w:top w:val="single" w:color="auto" w:sz="4" w:space="0"/>
              <w:left w:val="nil"/>
              <w:bottom w:val="single" w:color="auto" w:sz="4" w:space="0"/>
              <w:right w:val="single" w:color="auto" w:sz="4" w:space="0"/>
            </w:tcBorders>
            <w:vAlign w:val="center"/>
          </w:tcPr>
          <w:p w14:paraId="7173934D">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是否为丛书（系列）</w:t>
            </w:r>
          </w:p>
        </w:tc>
        <w:tc>
          <w:tcPr>
            <w:tcW w:w="1417" w:type="dxa"/>
            <w:tcBorders>
              <w:top w:val="single" w:color="auto" w:sz="4" w:space="0"/>
              <w:left w:val="nil"/>
              <w:bottom w:val="single" w:color="auto" w:sz="4" w:space="0"/>
              <w:right w:val="single" w:color="auto" w:sz="4" w:space="0"/>
            </w:tcBorders>
            <w:vAlign w:val="center"/>
          </w:tcPr>
          <w:p w14:paraId="79E6E27D">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丛书（系列）</w:t>
            </w:r>
          </w:p>
          <w:p w14:paraId="298BCD5F">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数量</w:t>
            </w:r>
          </w:p>
        </w:tc>
        <w:tc>
          <w:tcPr>
            <w:tcW w:w="1701" w:type="dxa"/>
            <w:tcBorders>
              <w:top w:val="single" w:color="auto" w:sz="4" w:space="0"/>
              <w:left w:val="nil"/>
              <w:bottom w:val="single" w:color="auto" w:sz="4" w:space="0"/>
              <w:right w:val="single" w:color="auto" w:sz="4" w:space="0"/>
            </w:tcBorders>
            <w:vAlign w:val="center"/>
          </w:tcPr>
          <w:p w14:paraId="73528801">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广西单位或工作个人是否为著作权人</w:t>
            </w:r>
          </w:p>
        </w:tc>
        <w:tc>
          <w:tcPr>
            <w:tcW w:w="993" w:type="dxa"/>
            <w:tcBorders>
              <w:top w:val="single" w:color="auto" w:sz="4" w:space="0"/>
              <w:left w:val="nil"/>
              <w:bottom w:val="single" w:color="auto" w:sz="4" w:space="0"/>
              <w:right w:val="single" w:color="auto" w:sz="4" w:space="0"/>
            </w:tcBorders>
            <w:vAlign w:val="center"/>
          </w:tcPr>
          <w:p w14:paraId="40388E0B">
            <w:pPr>
              <w:widowControl w:val="0"/>
              <w:adjustRightInd w:val="0"/>
              <w:snapToGrid w:val="0"/>
              <w:spacing w:line="320" w:lineRule="exact"/>
              <w:jc w:val="center"/>
              <w:rPr>
                <w:rFonts w:eastAsia="方正黑体_GBK"/>
                <w:snapToGrid w:val="0"/>
                <w:color w:val="000000"/>
                <w:sz w:val="18"/>
                <w:szCs w:val="18"/>
              </w:rPr>
            </w:pPr>
            <w:r>
              <w:rPr>
                <w:rFonts w:eastAsia="方正黑体_GBK"/>
                <w:snapToGrid w:val="0"/>
                <w:color w:val="000000"/>
                <w:sz w:val="18"/>
                <w:szCs w:val="18"/>
              </w:rPr>
              <w:t>附件编号</w:t>
            </w:r>
          </w:p>
        </w:tc>
      </w:tr>
      <w:tr w14:paraId="315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47" w:type="dxa"/>
            <w:tcBorders>
              <w:top w:val="single" w:color="auto" w:sz="4" w:space="0"/>
              <w:left w:val="single" w:color="auto" w:sz="4" w:space="0"/>
              <w:bottom w:val="single" w:color="auto" w:sz="4" w:space="0"/>
              <w:right w:val="single" w:color="auto" w:sz="4" w:space="0"/>
            </w:tcBorders>
            <w:vAlign w:val="center"/>
          </w:tcPr>
          <w:p w14:paraId="32BFA47D">
            <w:pPr>
              <w:widowControl w:val="0"/>
              <w:adjustRightInd w:val="0"/>
              <w:snapToGrid w:val="0"/>
              <w:spacing w:line="320" w:lineRule="exact"/>
              <w:jc w:val="center"/>
              <w:rPr>
                <w:rFonts w:eastAsia="方正仿宋_GBK"/>
                <w:snapToGrid w:val="0"/>
                <w:color w:val="000000"/>
                <w:sz w:val="18"/>
                <w:szCs w:val="18"/>
              </w:rPr>
            </w:pPr>
          </w:p>
        </w:tc>
        <w:tc>
          <w:tcPr>
            <w:tcW w:w="2892" w:type="dxa"/>
            <w:tcBorders>
              <w:top w:val="single" w:color="auto" w:sz="4" w:space="0"/>
              <w:left w:val="nil"/>
              <w:bottom w:val="single" w:color="auto" w:sz="4" w:space="0"/>
              <w:right w:val="single" w:color="auto" w:sz="4" w:space="0"/>
            </w:tcBorders>
            <w:vAlign w:val="center"/>
          </w:tcPr>
          <w:p w14:paraId="7D161B02">
            <w:pPr>
              <w:widowControl w:val="0"/>
              <w:adjustRightInd w:val="0"/>
              <w:snapToGrid w:val="0"/>
              <w:spacing w:line="320" w:lineRule="exact"/>
              <w:jc w:val="both"/>
              <w:rPr>
                <w:rFonts w:eastAsia="方正仿宋_GBK"/>
                <w:snapToGrid w:val="0"/>
                <w:color w:val="000000"/>
                <w:sz w:val="18"/>
                <w:szCs w:val="18"/>
              </w:rPr>
            </w:pPr>
          </w:p>
        </w:tc>
        <w:tc>
          <w:tcPr>
            <w:tcW w:w="992" w:type="dxa"/>
            <w:tcBorders>
              <w:top w:val="single" w:color="auto" w:sz="4" w:space="0"/>
              <w:left w:val="nil"/>
              <w:bottom w:val="single" w:color="auto" w:sz="4" w:space="0"/>
              <w:right w:val="single" w:color="auto" w:sz="4" w:space="0"/>
            </w:tcBorders>
            <w:vAlign w:val="center"/>
          </w:tcPr>
          <w:p w14:paraId="5417267E">
            <w:pPr>
              <w:widowControl w:val="0"/>
              <w:adjustRightInd w:val="0"/>
              <w:snapToGrid w:val="0"/>
              <w:spacing w:line="320" w:lineRule="exact"/>
              <w:jc w:val="both"/>
              <w:rPr>
                <w:rFonts w:eastAsia="方正仿宋_GBK"/>
                <w:snapToGrid w:val="0"/>
                <w:color w:val="000000"/>
                <w:sz w:val="18"/>
                <w:szCs w:val="18"/>
              </w:rPr>
            </w:pPr>
          </w:p>
        </w:tc>
        <w:tc>
          <w:tcPr>
            <w:tcW w:w="1134" w:type="dxa"/>
            <w:tcBorders>
              <w:top w:val="single" w:color="auto" w:sz="4" w:space="0"/>
              <w:left w:val="nil"/>
              <w:bottom w:val="single" w:color="auto" w:sz="4" w:space="0"/>
              <w:right w:val="single" w:color="auto" w:sz="4" w:space="0"/>
            </w:tcBorders>
            <w:vAlign w:val="center"/>
          </w:tcPr>
          <w:p w14:paraId="172C98E7">
            <w:pPr>
              <w:widowControl w:val="0"/>
              <w:adjustRightInd w:val="0"/>
              <w:snapToGrid w:val="0"/>
              <w:spacing w:line="320" w:lineRule="exact"/>
              <w:jc w:val="both"/>
              <w:rPr>
                <w:rFonts w:eastAsia="方正仿宋_GBK"/>
                <w:snapToGrid w:val="0"/>
                <w:color w:val="000000"/>
                <w:sz w:val="18"/>
                <w:szCs w:val="18"/>
              </w:rPr>
            </w:pPr>
          </w:p>
        </w:tc>
        <w:tc>
          <w:tcPr>
            <w:tcW w:w="1134" w:type="dxa"/>
            <w:tcBorders>
              <w:top w:val="single" w:color="auto" w:sz="4" w:space="0"/>
              <w:left w:val="nil"/>
              <w:bottom w:val="single" w:color="auto" w:sz="4" w:space="0"/>
              <w:right w:val="single" w:color="auto" w:sz="4" w:space="0"/>
            </w:tcBorders>
            <w:vAlign w:val="center"/>
          </w:tcPr>
          <w:p w14:paraId="24F28354">
            <w:pPr>
              <w:widowControl w:val="0"/>
              <w:adjustRightInd w:val="0"/>
              <w:snapToGrid w:val="0"/>
              <w:spacing w:line="320" w:lineRule="exact"/>
              <w:jc w:val="both"/>
              <w:rPr>
                <w:rFonts w:eastAsia="方正仿宋_GBK"/>
                <w:snapToGrid w:val="0"/>
                <w:color w:val="000000"/>
                <w:sz w:val="18"/>
                <w:szCs w:val="18"/>
              </w:rPr>
            </w:pPr>
          </w:p>
        </w:tc>
        <w:tc>
          <w:tcPr>
            <w:tcW w:w="1843" w:type="dxa"/>
            <w:tcBorders>
              <w:top w:val="single" w:color="auto" w:sz="4" w:space="0"/>
              <w:left w:val="nil"/>
              <w:bottom w:val="single" w:color="auto" w:sz="4" w:space="0"/>
              <w:right w:val="single" w:color="auto" w:sz="4" w:space="0"/>
            </w:tcBorders>
            <w:vAlign w:val="center"/>
          </w:tcPr>
          <w:p w14:paraId="06A4E3D8">
            <w:pPr>
              <w:widowControl w:val="0"/>
              <w:adjustRightInd w:val="0"/>
              <w:snapToGrid w:val="0"/>
              <w:spacing w:line="320" w:lineRule="exact"/>
              <w:jc w:val="both"/>
              <w:rPr>
                <w:rFonts w:eastAsia="方正仿宋_GBK"/>
                <w:snapToGrid w:val="0"/>
                <w:color w:val="000000"/>
                <w:sz w:val="18"/>
                <w:szCs w:val="18"/>
              </w:rPr>
            </w:pPr>
          </w:p>
        </w:tc>
        <w:tc>
          <w:tcPr>
            <w:tcW w:w="1276" w:type="dxa"/>
            <w:tcBorders>
              <w:top w:val="single" w:color="auto" w:sz="4" w:space="0"/>
              <w:left w:val="nil"/>
              <w:bottom w:val="single" w:color="auto" w:sz="4" w:space="0"/>
              <w:right w:val="single" w:color="auto" w:sz="4" w:space="0"/>
            </w:tcBorders>
            <w:vAlign w:val="center"/>
          </w:tcPr>
          <w:p w14:paraId="7EC57D07">
            <w:pPr>
              <w:widowControl w:val="0"/>
              <w:adjustRightInd w:val="0"/>
              <w:snapToGrid w:val="0"/>
              <w:spacing w:line="320" w:lineRule="exact"/>
              <w:jc w:val="both"/>
              <w:rPr>
                <w:rFonts w:eastAsia="方正仿宋_GBK"/>
                <w:snapToGrid w:val="0"/>
                <w:color w:val="000000"/>
                <w:sz w:val="18"/>
                <w:szCs w:val="18"/>
              </w:rPr>
            </w:pPr>
          </w:p>
        </w:tc>
        <w:tc>
          <w:tcPr>
            <w:tcW w:w="1417" w:type="dxa"/>
            <w:tcBorders>
              <w:top w:val="single" w:color="auto" w:sz="4" w:space="0"/>
              <w:left w:val="nil"/>
              <w:bottom w:val="single" w:color="auto" w:sz="4" w:space="0"/>
              <w:right w:val="single" w:color="auto" w:sz="4" w:space="0"/>
            </w:tcBorders>
            <w:vAlign w:val="center"/>
          </w:tcPr>
          <w:p w14:paraId="795A7225">
            <w:pPr>
              <w:widowControl w:val="0"/>
              <w:adjustRightInd w:val="0"/>
              <w:snapToGrid w:val="0"/>
              <w:spacing w:line="320" w:lineRule="exact"/>
              <w:jc w:val="both"/>
              <w:rPr>
                <w:rFonts w:eastAsia="方正仿宋_GBK"/>
                <w:snapToGrid w:val="0"/>
                <w:color w:val="000000"/>
                <w:sz w:val="18"/>
                <w:szCs w:val="18"/>
              </w:rPr>
            </w:pPr>
          </w:p>
        </w:tc>
        <w:tc>
          <w:tcPr>
            <w:tcW w:w="1701" w:type="dxa"/>
            <w:tcBorders>
              <w:top w:val="single" w:color="auto" w:sz="4" w:space="0"/>
              <w:left w:val="nil"/>
              <w:bottom w:val="single" w:color="auto" w:sz="4" w:space="0"/>
              <w:right w:val="single" w:color="auto" w:sz="4" w:space="0"/>
            </w:tcBorders>
            <w:vAlign w:val="center"/>
          </w:tcPr>
          <w:p w14:paraId="1DD9F858">
            <w:pPr>
              <w:widowControl w:val="0"/>
              <w:adjustRightInd w:val="0"/>
              <w:snapToGrid w:val="0"/>
              <w:spacing w:line="320" w:lineRule="exact"/>
              <w:jc w:val="both"/>
              <w:rPr>
                <w:rFonts w:eastAsia="方正仿宋_GBK"/>
                <w:snapToGrid w:val="0"/>
                <w:color w:val="000000"/>
                <w:sz w:val="18"/>
                <w:szCs w:val="18"/>
              </w:rPr>
            </w:pPr>
          </w:p>
        </w:tc>
        <w:tc>
          <w:tcPr>
            <w:tcW w:w="993" w:type="dxa"/>
            <w:tcBorders>
              <w:top w:val="single" w:color="auto" w:sz="4" w:space="0"/>
              <w:left w:val="nil"/>
              <w:bottom w:val="single" w:color="auto" w:sz="4" w:space="0"/>
              <w:right w:val="single" w:color="auto" w:sz="4" w:space="0"/>
            </w:tcBorders>
            <w:vAlign w:val="center"/>
          </w:tcPr>
          <w:p w14:paraId="4E190808">
            <w:pPr>
              <w:widowControl w:val="0"/>
              <w:adjustRightInd w:val="0"/>
              <w:snapToGrid w:val="0"/>
              <w:spacing w:line="320" w:lineRule="exact"/>
              <w:jc w:val="both"/>
              <w:rPr>
                <w:rFonts w:eastAsia="方正仿宋_GBK"/>
                <w:snapToGrid w:val="0"/>
                <w:color w:val="000000"/>
                <w:sz w:val="18"/>
                <w:szCs w:val="18"/>
              </w:rPr>
            </w:pPr>
          </w:p>
        </w:tc>
      </w:tr>
    </w:tbl>
    <w:p w14:paraId="4B58A103">
      <w:pPr>
        <w:widowControl w:val="0"/>
        <w:adjustRightInd w:val="0"/>
        <w:snapToGrid w:val="0"/>
        <w:spacing w:line="406" w:lineRule="exact"/>
        <w:jc w:val="both"/>
        <w:rPr>
          <w:rFonts w:eastAsia="方正仿宋_GBK"/>
          <w:snapToGrid w:val="0"/>
          <w:color w:val="000000"/>
          <w:sz w:val="28"/>
          <w:szCs w:val="28"/>
        </w:rPr>
      </w:pPr>
      <w:r>
        <w:rPr>
          <w:rFonts w:eastAsia="方正仿宋_GBK"/>
          <w:snapToGrid w:val="0"/>
          <w:color w:val="000000"/>
          <w:sz w:val="28"/>
          <w:szCs w:val="28"/>
        </w:rPr>
        <w:t xml:space="preserve"> </w:t>
      </w:r>
    </w:p>
    <w:p w14:paraId="2225D6E5">
      <w:pPr>
        <w:ind w:firstLine="5040" w:firstLineChars="1800"/>
        <w:rPr>
          <w:rFonts w:ascii="仿宋" w:hAnsi="仿宋" w:eastAsia="仿宋"/>
          <w:b/>
          <w:bCs/>
        </w:rPr>
      </w:pPr>
      <w:r>
        <w:rPr>
          <w:rFonts w:eastAsia="方正仿宋_GBK"/>
          <w:snapToGrid w:val="0"/>
          <w:color w:val="000000"/>
          <w:sz w:val="28"/>
          <w:szCs w:val="28"/>
        </w:rPr>
        <w:br w:type="page"/>
      </w:r>
    </w:p>
    <w:p w14:paraId="20B1CAC3">
      <w:pPr>
        <w:jc w:val="center"/>
        <w:rPr>
          <w:rFonts w:ascii="仿宋" w:hAnsi="仿宋" w:eastAsia="仿宋"/>
          <w:b/>
          <w:bCs/>
        </w:rPr>
      </w:pPr>
      <w:r>
        <w:rPr>
          <w:rFonts w:hint="eastAsia" w:ascii="仿宋" w:hAnsi="仿宋" w:eastAsia="仿宋"/>
          <w:b/>
          <w:bCs/>
        </w:rPr>
        <w:t>三、候选个人合作情况</w:t>
      </w:r>
    </w:p>
    <w:tbl>
      <w:tblPr>
        <w:tblStyle w:val="20"/>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5"/>
      </w:tblGrid>
      <w:tr w14:paraId="0B5F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14095" w:type="dxa"/>
          </w:tcPr>
          <w:p w14:paraId="5FBC5DD3">
            <w:pPr>
              <w:widowControl w:val="0"/>
              <w:adjustRightInd w:val="0"/>
              <w:snapToGrid w:val="0"/>
              <w:spacing w:line="406" w:lineRule="exact"/>
              <w:jc w:val="center"/>
              <w:rPr>
                <w:rFonts w:eastAsia="方正黑体_GBK"/>
                <w:snapToGrid w:val="0"/>
                <w:color w:val="000000"/>
                <w:kern w:val="0"/>
                <w:sz w:val="28"/>
                <w:szCs w:val="28"/>
              </w:rPr>
            </w:pPr>
            <w:r>
              <w:rPr>
                <w:rFonts w:eastAsia="方正黑体_GBK"/>
                <w:snapToGrid w:val="0"/>
                <w:color w:val="000000"/>
                <w:kern w:val="0"/>
                <w:sz w:val="28"/>
                <w:szCs w:val="28"/>
              </w:rPr>
              <w:t>候选个人合作关系说明</w:t>
            </w:r>
          </w:p>
          <w:p w14:paraId="58685053">
            <w:pPr>
              <w:widowControl w:val="0"/>
              <w:adjustRightInd w:val="0"/>
              <w:snapToGrid w:val="0"/>
              <w:spacing w:line="406" w:lineRule="exact"/>
              <w:jc w:val="center"/>
              <w:rPr>
                <w:rFonts w:eastAsia="方正黑体_GBK"/>
                <w:snapToGrid w:val="0"/>
                <w:color w:val="000000"/>
                <w:kern w:val="0"/>
                <w:sz w:val="28"/>
                <w:szCs w:val="28"/>
              </w:rPr>
            </w:pPr>
          </w:p>
          <w:p w14:paraId="34DE76D7">
            <w:pPr>
              <w:widowControl w:val="0"/>
              <w:adjustRightInd w:val="0"/>
              <w:snapToGrid w:val="0"/>
              <w:spacing w:line="406" w:lineRule="exact"/>
              <w:jc w:val="both"/>
              <w:rPr>
                <w:rFonts w:eastAsia="方正仿宋_GBK"/>
                <w:snapToGrid w:val="0"/>
                <w:color w:val="000000"/>
                <w:kern w:val="0"/>
                <w:sz w:val="21"/>
                <w:szCs w:val="21"/>
              </w:rPr>
            </w:pPr>
            <w:r>
              <w:rPr>
                <w:rFonts w:eastAsia="方正仿宋_GBK"/>
                <w:snapToGrid w:val="0"/>
                <w:color w:val="000000"/>
                <w:kern w:val="0"/>
                <w:sz w:val="21"/>
                <w:szCs w:val="21"/>
              </w:rPr>
              <w:t>（候选个人不在同一工作单位的，应填写该说明。</w:t>
            </w:r>
            <w:r>
              <w:rPr>
                <w:rFonts w:eastAsia="方正仿宋_GBK"/>
                <w:b/>
                <w:bCs/>
                <w:snapToGrid w:val="0"/>
                <w:color w:val="000000"/>
                <w:kern w:val="0"/>
                <w:sz w:val="21"/>
                <w:szCs w:val="21"/>
              </w:rPr>
              <w:t>候选个人均为同一单位则不用填写该说明。</w:t>
            </w:r>
            <w:r>
              <w:rPr>
                <w:rFonts w:eastAsia="方正仿宋_GBK"/>
                <w:snapToGrid w:val="0"/>
                <w:color w:val="000000"/>
                <w:kern w:val="0"/>
                <w:sz w:val="21"/>
                <w:szCs w:val="21"/>
              </w:rPr>
              <w:t>）</w:t>
            </w:r>
          </w:p>
          <w:p w14:paraId="0DE0FC8C">
            <w:pPr>
              <w:widowControl w:val="0"/>
              <w:adjustRightInd w:val="0"/>
              <w:snapToGrid w:val="0"/>
              <w:spacing w:after="0" w:line="406" w:lineRule="exact"/>
              <w:ind w:firstLine="440" w:firstLineChars="200"/>
              <w:jc w:val="both"/>
              <w:rPr>
                <w:rFonts w:hint="default" w:eastAsiaTheme="minorEastAsia"/>
                <w:snapToGrid w:val="0"/>
                <w:color w:val="000000"/>
                <w:kern w:val="0"/>
                <w:sz w:val="22"/>
                <w:szCs w:val="24"/>
                <w:lang w:val="en-US" w:eastAsia="zh-CN"/>
              </w:rPr>
            </w:pPr>
            <w:r>
              <w:rPr>
                <w:rFonts w:eastAsiaTheme="minorEastAsia"/>
                <w:snapToGrid w:val="0"/>
                <w:color w:val="000000"/>
                <w:kern w:val="0"/>
                <w:sz w:val="22"/>
                <w:szCs w:val="24"/>
              </w:rPr>
              <w:t>广西大学苗蕾</w:t>
            </w:r>
            <w:bookmarkStart w:id="17" w:name="OLE_LINK57"/>
            <w:bookmarkStart w:id="18" w:name="OLE_LINK58"/>
            <w:r>
              <w:rPr>
                <w:rFonts w:hint="eastAsia" w:eastAsiaTheme="minorEastAsia"/>
                <w:snapToGrid w:val="0"/>
                <w:color w:val="000000"/>
                <w:kern w:val="0"/>
                <w:sz w:val="22"/>
                <w:szCs w:val="24"/>
                <w:lang w:val="en-US" w:eastAsia="zh-CN"/>
              </w:rPr>
              <w:t>于2015年7月至2023年6月在桂林电子科技大学任职专任教师，其科研团队成员包括候选人刘呈燕、陈俊良、高杰和周建华。2023年6月从桂林电子科技大学离职后入职广西大学任职专任教师至今，其科研团队成员包括候选人王潇漾、朱思靖、</w:t>
            </w:r>
            <w:r>
              <w:rPr>
                <w:rFonts w:hint="default" w:eastAsiaTheme="minorEastAsia"/>
                <w:snapToGrid w:val="0"/>
                <w:color w:val="000000"/>
                <w:kern w:val="0"/>
                <w:sz w:val="22"/>
                <w:szCs w:val="24"/>
                <w:lang w:val="en-US" w:eastAsia="zh-CN"/>
              </w:rPr>
              <w:t>张忠玮</w:t>
            </w:r>
            <w:r>
              <w:rPr>
                <w:rFonts w:hint="eastAsia" w:eastAsiaTheme="minorEastAsia"/>
                <w:snapToGrid w:val="0"/>
                <w:color w:val="000000"/>
                <w:kern w:val="0"/>
                <w:sz w:val="22"/>
                <w:szCs w:val="24"/>
                <w:lang w:val="en-US" w:eastAsia="zh-CN"/>
              </w:rPr>
              <w:t>和</w:t>
            </w:r>
            <w:r>
              <w:rPr>
                <w:rFonts w:hint="default" w:eastAsiaTheme="minorEastAsia"/>
                <w:snapToGrid w:val="0"/>
                <w:color w:val="000000"/>
                <w:kern w:val="0"/>
                <w:sz w:val="22"/>
                <w:szCs w:val="24"/>
                <w:lang w:val="en-US" w:eastAsia="zh-CN"/>
              </w:rPr>
              <w:t>穆晓江</w:t>
            </w:r>
            <w:r>
              <w:rPr>
                <w:rFonts w:hint="eastAsia" w:eastAsiaTheme="minorEastAsia"/>
                <w:snapToGrid w:val="0"/>
                <w:color w:val="000000"/>
                <w:kern w:val="0"/>
                <w:sz w:val="22"/>
                <w:szCs w:val="24"/>
                <w:lang w:val="en-US" w:eastAsia="zh-CN"/>
              </w:rPr>
              <w:t>。</w:t>
            </w:r>
            <w:r>
              <w:rPr>
                <w:rFonts w:eastAsiaTheme="minorEastAsia"/>
                <w:snapToGrid w:val="0"/>
                <w:color w:val="000000"/>
                <w:kern w:val="0"/>
                <w:sz w:val="22"/>
                <w:szCs w:val="24"/>
              </w:rPr>
              <w:t>湖南人文科技学院刘呈燕</w:t>
            </w:r>
            <w:r>
              <w:rPr>
                <w:rFonts w:hint="eastAsia" w:eastAsiaTheme="minorEastAsia"/>
                <w:snapToGrid w:val="0"/>
                <w:color w:val="000000"/>
                <w:kern w:val="0"/>
                <w:sz w:val="22"/>
                <w:szCs w:val="24"/>
                <w:lang w:val="en-US" w:eastAsia="zh-CN"/>
              </w:rPr>
              <w:t>于2015年7月至2024年12月在桂林电子科技大学任职专任教师，2024年12月从桂林电子科技大学离职后入职湖南人文科技学院任职专任教师至今。</w:t>
            </w:r>
          </w:p>
          <w:p w14:paraId="186DDE08">
            <w:pPr>
              <w:widowControl w:val="0"/>
              <w:adjustRightInd w:val="0"/>
              <w:snapToGrid w:val="0"/>
              <w:spacing w:after="0" w:line="406" w:lineRule="exact"/>
              <w:ind w:firstLine="440" w:firstLineChars="200"/>
              <w:jc w:val="both"/>
              <w:rPr>
                <w:rFonts w:eastAsiaTheme="minorEastAsia"/>
                <w:color w:val="000000" w:themeColor="text1"/>
                <w:kern w:val="0"/>
                <w:sz w:val="22"/>
                <w:szCs w:val="24"/>
                <w14:textFill>
                  <w14:solidFill>
                    <w14:schemeClr w14:val="tx1"/>
                  </w14:solidFill>
                </w14:textFill>
              </w:rPr>
            </w:pPr>
            <w:r>
              <w:rPr>
                <w:rFonts w:hint="eastAsia" w:eastAsiaTheme="minorEastAsia"/>
                <w:snapToGrid w:val="0"/>
                <w:color w:val="000000"/>
                <w:kern w:val="0"/>
                <w:sz w:val="22"/>
                <w:szCs w:val="24"/>
                <w:lang w:val="en-US" w:eastAsia="zh-CN"/>
              </w:rPr>
              <w:t>广西大学苗蕾</w:t>
            </w:r>
            <w:r>
              <w:rPr>
                <w:rFonts w:eastAsiaTheme="minorEastAsia"/>
                <w:snapToGrid w:val="0"/>
                <w:color w:val="000000"/>
                <w:kern w:val="0"/>
                <w:sz w:val="22"/>
                <w:szCs w:val="24"/>
              </w:rPr>
              <w:t>与桂林电子科技大学陈俊良，高杰</w:t>
            </w:r>
            <w:bookmarkEnd w:id="17"/>
            <w:bookmarkEnd w:id="18"/>
            <w:r>
              <w:rPr>
                <w:rFonts w:eastAsiaTheme="minorEastAsia"/>
                <w:snapToGrid w:val="0"/>
                <w:color w:val="000000"/>
                <w:kern w:val="0"/>
                <w:sz w:val="22"/>
                <w:szCs w:val="24"/>
              </w:rPr>
              <w:t>及广西玉柴机器股份有限公司（</w:t>
            </w:r>
            <w:r>
              <w:rPr>
                <w:rFonts w:eastAsiaTheme="minorEastAsia"/>
                <w:color w:val="000000" w:themeColor="text1"/>
                <w:kern w:val="0"/>
                <w:sz w:val="22"/>
                <w:szCs w:val="24"/>
                <w14:textFill>
                  <w14:solidFill>
                    <w14:schemeClr w14:val="tx1"/>
                  </w14:solidFill>
                </w14:textFill>
              </w:rPr>
              <w:t>玉柴芯蓝新能源动力科技有限公司</w:t>
            </w:r>
            <w:r>
              <w:rPr>
                <w:rFonts w:eastAsiaTheme="minorEastAsia"/>
                <w:snapToGrid w:val="0"/>
                <w:color w:val="000000"/>
                <w:kern w:val="0"/>
                <w:sz w:val="22"/>
                <w:szCs w:val="24"/>
              </w:rPr>
              <w:t>）团队</w:t>
            </w:r>
            <w:r>
              <w:rPr>
                <w:rFonts w:eastAsiaTheme="minorEastAsia"/>
                <w:color w:val="000000" w:themeColor="text1"/>
                <w:kern w:val="0"/>
                <w:sz w:val="22"/>
                <w:szCs w:val="24"/>
                <w14:textFill>
                  <w14:solidFill>
                    <w14:schemeClr w14:val="tx1"/>
                  </w14:solidFill>
                </w14:textFill>
              </w:rPr>
              <w:t>共同</w:t>
            </w:r>
            <w:bookmarkStart w:id="19" w:name="OLE_LINK61"/>
            <w:bookmarkStart w:id="20" w:name="OLE_LINK62"/>
            <w:r>
              <w:rPr>
                <w:rFonts w:eastAsiaTheme="minorEastAsia"/>
                <w:color w:val="000000" w:themeColor="text1"/>
                <w:kern w:val="0"/>
                <w:sz w:val="22"/>
                <w:szCs w:val="24"/>
                <w14:textFill>
                  <w14:solidFill>
                    <w14:schemeClr w14:val="tx1"/>
                  </w14:solidFill>
                </w14:textFill>
              </w:rPr>
              <w:t>完成</w:t>
            </w:r>
            <w:bookmarkStart w:id="21" w:name="OLE_LINK80"/>
            <w:r>
              <w:rPr>
                <w:rFonts w:eastAsiaTheme="minorEastAsia"/>
                <w:color w:val="000000" w:themeColor="text1"/>
                <w:kern w:val="0"/>
                <w:sz w:val="22"/>
                <w:szCs w:val="24"/>
                <w14:textFill>
                  <w14:solidFill>
                    <w14:schemeClr w14:val="tx1"/>
                  </w14:solidFill>
                </w14:textFill>
              </w:rPr>
              <w:t>发明专利“</w:t>
            </w:r>
            <w:bookmarkEnd w:id="19"/>
            <w:bookmarkEnd w:id="20"/>
            <w:r>
              <w:rPr>
                <w:rFonts w:eastAsiaTheme="minorEastAsia"/>
                <w:snapToGrid w:val="0"/>
                <w:sz w:val="22"/>
                <w:szCs w:val="24"/>
              </w:rPr>
              <w:t>一种快速制备高热电性能n型Mg</w:t>
            </w:r>
            <w:r>
              <w:rPr>
                <w:rFonts w:eastAsiaTheme="minorEastAsia"/>
                <w:snapToGrid w:val="0"/>
                <w:sz w:val="22"/>
                <w:szCs w:val="24"/>
                <w:vertAlign w:val="subscript"/>
              </w:rPr>
              <w:t>3</w:t>
            </w:r>
            <w:r>
              <w:rPr>
                <w:rFonts w:eastAsiaTheme="minorEastAsia"/>
                <w:snapToGrid w:val="0"/>
                <w:sz w:val="22"/>
                <w:szCs w:val="24"/>
              </w:rPr>
              <w:t>Sb</w:t>
            </w:r>
            <w:r>
              <w:rPr>
                <w:rFonts w:eastAsiaTheme="minorEastAsia"/>
                <w:snapToGrid w:val="0"/>
                <w:sz w:val="22"/>
                <w:szCs w:val="24"/>
                <w:vertAlign w:val="subscript"/>
              </w:rPr>
              <w:t>2</w:t>
            </w:r>
            <w:r>
              <w:rPr>
                <w:rFonts w:eastAsiaTheme="minorEastAsia"/>
                <w:snapToGrid w:val="0"/>
                <w:sz w:val="22"/>
                <w:szCs w:val="24"/>
              </w:rPr>
              <w:t>基材料的方法</w:t>
            </w:r>
            <w:r>
              <w:rPr>
                <w:rFonts w:eastAsiaTheme="minorEastAsia"/>
                <w:color w:val="000000" w:themeColor="text1"/>
                <w:kern w:val="0"/>
                <w:sz w:val="22"/>
                <w:szCs w:val="24"/>
                <w14:textFill>
                  <w14:solidFill>
                    <w14:schemeClr w14:val="tx1"/>
                  </w14:solidFill>
                </w14:textFill>
              </w:rPr>
              <w:t>”、“</w:t>
            </w:r>
            <w:r>
              <w:rPr>
                <w:rFonts w:eastAsiaTheme="minorEastAsia"/>
                <w:snapToGrid w:val="0"/>
                <w:sz w:val="22"/>
                <w:szCs w:val="24"/>
              </w:rPr>
              <w:t>一种高性能石榴石结构锂离子固态电解质片的常压烧结方法</w:t>
            </w:r>
            <w:r>
              <w:rPr>
                <w:rFonts w:eastAsiaTheme="minorEastAsia"/>
                <w:color w:val="000000" w:themeColor="text1"/>
                <w:kern w:val="0"/>
                <w:sz w:val="22"/>
                <w:szCs w:val="24"/>
                <w14:textFill>
                  <w14:solidFill>
                    <w14:schemeClr w14:val="tx1"/>
                  </w14:solidFill>
                </w14:textFill>
              </w:rPr>
              <w:t>”</w:t>
            </w:r>
            <w:bookmarkEnd w:id="21"/>
            <w:r>
              <w:rPr>
                <w:rFonts w:eastAsiaTheme="minorEastAsia"/>
                <w:color w:val="000000" w:themeColor="text1"/>
                <w:kern w:val="0"/>
                <w:sz w:val="22"/>
                <w:szCs w:val="24"/>
                <w14:textFill>
                  <w14:solidFill>
                    <w14:schemeClr w14:val="tx1"/>
                  </w14:solidFill>
                </w14:textFill>
              </w:rPr>
              <w:t>、（1-2,1-5）。</w:t>
            </w:r>
          </w:p>
          <w:p w14:paraId="28FBB3BB">
            <w:pPr>
              <w:widowControl w:val="0"/>
              <w:adjustRightInd w:val="0"/>
              <w:snapToGrid w:val="0"/>
              <w:spacing w:after="0" w:line="406" w:lineRule="exact"/>
              <w:ind w:firstLine="440" w:firstLineChars="200"/>
              <w:jc w:val="both"/>
              <w:rPr>
                <w:rFonts w:eastAsiaTheme="minorEastAsia"/>
                <w:snapToGrid w:val="0"/>
                <w:color w:val="000000"/>
                <w:kern w:val="0"/>
                <w:sz w:val="22"/>
                <w:szCs w:val="24"/>
              </w:rPr>
            </w:pPr>
            <w:r>
              <w:rPr>
                <w:rFonts w:eastAsiaTheme="minorEastAsia"/>
                <w:snapToGrid w:val="0"/>
                <w:color w:val="000000"/>
                <w:kern w:val="0"/>
                <w:sz w:val="22"/>
                <w:szCs w:val="24"/>
              </w:rPr>
              <w:t>桂林电子科技大学陈俊良</w:t>
            </w:r>
            <w:r>
              <w:rPr>
                <w:rFonts w:hint="eastAsia" w:eastAsiaTheme="minorEastAsia"/>
                <w:snapToGrid w:val="0"/>
                <w:color w:val="000000"/>
                <w:kern w:val="0"/>
                <w:sz w:val="22"/>
                <w:szCs w:val="24"/>
                <w:lang w:eastAsia="zh-CN"/>
              </w:rPr>
              <w:t>、</w:t>
            </w:r>
            <w:r>
              <w:rPr>
                <w:rFonts w:eastAsiaTheme="minorEastAsia"/>
                <w:snapToGrid w:val="0"/>
                <w:color w:val="000000"/>
                <w:kern w:val="0"/>
                <w:sz w:val="22"/>
                <w:szCs w:val="24"/>
              </w:rPr>
              <w:t>周建华与湖南人文科技学院刘呈燕及广西欧神诺陶瓷有限公司柯善军共同发表论文（</w:t>
            </w:r>
            <w:r>
              <w:rPr>
                <w:rFonts w:eastAsiaTheme="minorEastAsia"/>
                <w:snapToGrid w:val="0"/>
                <w:sz w:val="22"/>
                <w:szCs w:val="24"/>
              </w:rPr>
              <w:t>1-12</w:t>
            </w:r>
            <w:r>
              <w:rPr>
                <w:rFonts w:eastAsiaTheme="minorEastAsia"/>
                <w:snapToGrid w:val="0"/>
                <w:color w:val="000000"/>
                <w:kern w:val="0"/>
                <w:sz w:val="22"/>
                <w:szCs w:val="24"/>
              </w:rPr>
              <w:t>）。</w:t>
            </w:r>
          </w:p>
          <w:p w14:paraId="65E34035">
            <w:pPr>
              <w:widowControl w:val="0"/>
              <w:adjustRightInd w:val="0"/>
              <w:snapToGrid w:val="0"/>
              <w:spacing w:after="0" w:line="406" w:lineRule="exact"/>
              <w:ind w:firstLine="440" w:firstLineChars="200"/>
              <w:jc w:val="both"/>
              <w:rPr>
                <w:rFonts w:eastAsiaTheme="minorEastAsia"/>
                <w:snapToGrid w:val="0"/>
                <w:color w:val="000000"/>
                <w:kern w:val="0"/>
                <w:sz w:val="22"/>
                <w:szCs w:val="24"/>
              </w:rPr>
            </w:pPr>
            <w:r>
              <w:rPr>
                <w:rFonts w:eastAsiaTheme="minorEastAsia"/>
                <w:snapToGrid w:val="0"/>
                <w:color w:val="000000"/>
                <w:kern w:val="0"/>
                <w:sz w:val="22"/>
                <w:szCs w:val="24"/>
              </w:rPr>
              <w:t>广西大学苗蕾与河南鸿昌电子有限公司张文涛</w:t>
            </w:r>
            <w:r>
              <w:rPr>
                <w:rFonts w:hint="eastAsia" w:eastAsiaTheme="minorEastAsia"/>
                <w:snapToGrid w:val="0"/>
                <w:color w:val="000000"/>
                <w:kern w:val="0"/>
                <w:sz w:val="22"/>
                <w:szCs w:val="24"/>
                <w:lang w:eastAsia="zh-CN"/>
              </w:rPr>
              <w:t>、</w:t>
            </w:r>
            <w:r>
              <w:rPr>
                <w:rFonts w:eastAsiaTheme="minorEastAsia"/>
                <w:snapToGrid w:val="0"/>
                <w:color w:val="000000"/>
                <w:kern w:val="0"/>
                <w:sz w:val="22"/>
                <w:szCs w:val="24"/>
              </w:rPr>
              <w:t>陈建民共同发表论文（</w:t>
            </w:r>
            <w:r>
              <w:rPr>
                <w:rFonts w:eastAsiaTheme="minorEastAsia"/>
                <w:snapToGrid w:val="0"/>
                <w:sz w:val="22"/>
                <w:szCs w:val="24"/>
              </w:rPr>
              <w:t>1-10</w:t>
            </w:r>
            <w:r>
              <w:rPr>
                <w:rFonts w:eastAsiaTheme="minorEastAsia"/>
                <w:snapToGrid w:val="0"/>
                <w:color w:val="000000"/>
                <w:kern w:val="0"/>
                <w:sz w:val="22"/>
                <w:szCs w:val="24"/>
              </w:rPr>
              <w:t>）。</w:t>
            </w:r>
          </w:p>
          <w:p w14:paraId="080D2D54">
            <w:pPr>
              <w:widowControl w:val="0"/>
              <w:adjustRightInd w:val="0"/>
              <w:snapToGrid w:val="0"/>
              <w:spacing w:after="0" w:line="406" w:lineRule="exact"/>
              <w:ind w:firstLine="440" w:firstLineChars="200"/>
              <w:jc w:val="both"/>
              <w:rPr>
                <w:rFonts w:eastAsiaTheme="minorEastAsia"/>
                <w:snapToGrid w:val="0"/>
                <w:color w:val="000000"/>
                <w:kern w:val="0"/>
                <w:sz w:val="22"/>
                <w:szCs w:val="24"/>
              </w:rPr>
            </w:pPr>
            <w:r>
              <w:rPr>
                <w:rFonts w:eastAsiaTheme="minorEastAsia"/>
                <w:snapToGrid w:val="0"/>
                <w:color w:val="000000"/>
                <w:kern w:val="0"/>
                <w:sz w:val="22"/>
                <w:szCs w:val="24"/>
              </w:rPr>
              <w:t>广西大学苗蕾、王潇漾与广西安鑫新材料科技有限公司洪立秋共同发表论文（</w:t>
            </w:r>
            <w:r>
              <w:rPr>
                <w:rFonts w:eastAsiaTheme="minorEastAsia"/>
                <w:snapToGrid w:val="0"/>
                <w:sz w:val="22"/>
                <w:szCs w:val="24"/>
              </w:rPr>
              <w:t>1-11</w:t>
            </w:r>
            <w:r>
              <w:rPr>
                <w:rFonts w:eastAsiaTheme="minorEastAsia"/>
                <w:snapToGrid w:val="0"/>
                <w:color w:val="000000"/>
                <w:kern w:val="0"/>
                <w:sz w:val="22"/>
                <w:szCs w:val="24"/>
              </w:rPr>
              <w:t>）。</w:t>
            </w:r>
          </w:p>
          <w:p w14:paraId="7F741CB2">
            <w:pPr>
              <w:widowControl w:val="0"/>
              <w:adjustRightInd w:val="0"/>
              <w:snapToGrid w:val="0"/>
              <w:spacing w:line="406" w:lineRule="exact"/>
              <w:ind w:firstLine="440" w:firstLineChars="200"/>
              <w:jc w:val="both"/>
              <w:rPr>
                <w:rFonts w:eastAsiaTheme="minorEastAsia"/>
                <w:snapToGrid w:val="0"/>
                <w:color w:val="000000"/>
                <w:kern w:val="0"/>
                <w:sz w:val="22"/>
                <w:szCs w:val="24"/>
              </w:rPr>
            </w:pPr>
            <w:r>
              <w:rPr>
                <w:rFonts w:eastAsiaTheme="minorEastAsia"/>
                <w:snapToGrid w:val="0"/>
                <w:color w:val="000000"/>
                <w:kern w:val="0"/>
                <w:sz w:val="22"/>
                <w:szCs w:val="24"/>
              </w:rPr>
              <w:t>河南鸿昌电子有限公司</w:t>
            </w:r>
            <w:r>
              <w:rPr>
                <w:rFonts w:eastAsiaTheme="minorEastAsia"/>
                <w:color w:val="000000" w:themeColor="text1"/>
                <w:kern w:val="0"/>
                <w:sz w:val="22"/>
                <w:szCs w:val="24"/>
                <w14:textFill>
                  <w14:solidFill>
                    <w14:schemeClr w14:val="tx1"/>
                  </w14:solidFill>
                </w14:textFill>
              </w:rPr>
              <w:t>张文涛</w:t>
            </w:r>
            <w:r>
              <w:rPr>
                <w:rFonts w:hint="eastAsia" w:eastAsiaTheme="minorEastAsia"/>
                <w:color w:val="000000" w:themeColor="text1"/>
                <w:kern w:val="0"/>
                <w:sz w:val="22"/>
                <w:szCs w:val="24"/>
                <w:lang w:eastAsia="zh-CN"/>
                <w14:textFill>
                  <w14:solidFill>
                    <w14:schemeClr w14:val="tx1"/>
                  </w14:solidFill>
                </w14:textFill>
              </w:rPr>
              <w:t>、</w:t>
            </w:r>
            <w:r>
              <w:rPr>
                <w:rFonts w:eastAsiaTheme="minorEastAsia"/>
                <w:color w:val="000000" w:themeColor="text1"/>
                <w:kern w:val="0"/>
                <w:sz w:val="22"/>
                <w:szCs w:val="24"/>
                <w14:textFill>
                  <w14:solidFill>
                    <w14:schemeClr w14:val="tx1"/>
                  </w14:solidFill>
                </w14:textFill>
              </w:rPr>
              <w:t>陈建民</w:t>
            </w:r>
            <w:r>
              <w:rPr>
                <w:rFonts w:eastAsiaTheme="minorEastAsia"/>
                <w:snapToGrid w:val="0"/>
                <w:color w:val="000000"/>
                <w:kern w:val="0"/>
                <w:sz w:val="22"/>
                <w:szCs w:val="24"/>
              </w:rPr>
              <w:t>与香河东方电子有限公司</w:t>
            </w:r>
            <w:r>
              <w:rPr>
                <w:rFonts w:eastAsiaTheme="minorEastAsia"/>
                <w:color w:val="000000" w:themeColor="text1"/>
                <w:kern w:val="0"/>
                <w:sz w:val="22"/>
                <w:szCs w:val="24"/>
                <w14:textFill>
                  <w14:solidFill>
                    <w14:schemeClr w14:val="tx1"/>
                  </w14:solidFill>
                </w14:textFill>
              </w:rPr>
              <w:t>阚宗祥共同完成</w:t>
            </w:r>
            <w:r>
              <w:rPr>
                <w:rFonts w:eastAsiaTheme="minorEastAsia"/>
                <w:snapToGrid w:val="0"/>
                <w:color w:val="000000"/>
                <w:kern w:val="0"/>
                <w:sz w:val="22"/>
                <w:szCs w:val="24"/>
              </w:rPr>
              <w:t>行</w:t>
            </w:r>
            <w:bookmarkStart w:id="30" w:name="_GoBack"/>
            <w:bookmarkEnd w:id="30"/>
            <w:r>
              <w:rPr>
                <w:rFonts w:eastAsiaTheme="minorEastAsia"/>
                <w:snapToGrid w:val="0"/>
                <w:color w:val="000000"/>
                <w:kern w:val="0"/>
                <w:sz w:val="22"/>
                <w:szCs w:val="24"/>
              </w:rPr>
              <w:t>业标准（</w:t>
            </w:r>
            <w:r>
              <w:rPr>
                <w:rFonts w:eastAsiaTheme="minorEastAsia"/>
                <w:snapToGrid w:val="0"/>
                <w:sz w:val="22"/>
                <w:szCs w:val="24"/>
              </w:rPr>
              <w:t>1-7</w:t>
            </w:r>
            <w:r>
              <w:rPr>
                <w:rFonts w:eastAsiaTheme="minorEastAsia"/>
                <w:snapToGrid w:val="0"/>
                <w:color w:val="000000"/>
                <w:kern w:val="0"/>
                <w:sz w:val="22"/>
                <w:szCs w:val="24"/>
              </w:rPr>
              <w:t>）。</w:t>
            </w:r>
          </w:p>
          <w:p w14:paraId="550867B4">
            <w:pPr>
              <w:widowControl w:val="0"/>
              <w:adjustRightInd w:val="0"/>
              <w:snapToGrid w:val="0"/>
              <w:spacing w:line="406" w:lineRule="exact"/>
              <w:ind w:firstLine="560" w:firstLineChars="200"/>
              <w:jc w:val="both"/>
              <w:rPr>
                <w:rFonts w:eastAsia="方正仿宋_GBK"/>
                <w:snapToGrid w:val="0"/>
                <w:color w:val="000000"/>
                <w:kern w:val="0"/>
                <w:sz w:val="28"/>
                <w:szCs w:val="28"/>
              </w:rPr>
            </w:pPr>
          </w:p>
          <w:p w14:paraId="247DDBA4">
            <w:pPr>
              <w:widowControl w:val="0"/>
              <w:adjustRightInd w:val="0"/>
              <w:snapToGrid w:val="0"/>
              <w:spacing w:line="406" w:lineRule="exact"/>
              <w:ind w:firstLine="560" w:firstLineChars="200"/>
              <w:jc w:val="both"/>
              <w:rPr>
                <w:rFonts w:eastAsia="方正仿宋_GBK"/>
                <w:snapToGrid w:val="0"/>
                <w:color w:val="000000"/>
                <w:kern w:val="0"/>
                <w:sz w:val="28"/>
                <w:szCs w:val="28"/>
              </w:rPr>
            </w:pPr>
            <w:r>
              <w:rPr>
                <w:rFonts w:eastAsia="方正仿宋_GBK"/>
                <w:snapToGrid w:val="0"/>
                <w:color w:val="000000"/>
                <w:kern w:val="0"/>
                <w:sz w:val="28"/>
                <w:szCs w:val="28"/>
              </w:rPr>
              <w:t xml:space="preserve"> 以上合作关系情况详见附表。</w:t>
            </w:r>
          </w:p>
        </w:tc>
      </w:tr>
    </w:tbl>
    <w:p w14:paraId="798F0721">
      <w:pPr>
        <w:adjustRightInd w:val="0"/>
        <w:snapToGrid w:val="0"/>
        <w:spacing w:line="406" w:lineRule="exact"/>
        <w:jc w:val="center"/>
        <w:rPr>
          <w:rFonts w:ascii="黑体" w:hAnsi="黑体" w:eastAsia="黑体"/>
          <w:snapToGrid w:val="0"/>
          <w:color w:val="000000"/>
          <w:sz w:val="28"/>
          <w:szCs w:val="28"/>
        </w:rPr>
      </w:pPr>
    </w:p>
    <w:p w14:paraId="7F117F6F">
      <w:pPr>
        <w:adjustRightInd w:val="0"/>
        <w:snapToGrid w:val="0"/>
        <w:spacing w:line="406" w:lineRule="exact"/>
        <w:jc w:val="center"/>
        <w:rPr>
          <w:rFonts w:ascii="仿宋" w:hAnsi="仿宋" w:eastAsia="仿宋"/>
          <w:b/>
          <w:snapToGrid w:val="0"/>
          <w:color w:val="000000"/>
          <w:szCs w:val="32"/>
        </w:rPr>
      </w:pPr>
      <w:r>
        <w:rPr>
          <w:rFonts w:hint="eastAsia" w:ascii="仿宋" w:hAnsi="仿宋" w:eastAsia="仿宋"/>
          <w:b/>
          <w:snapToGrid w:val="0"/>
          <w:color w:val="000000"/>
          <w:szCs w:val="32"/>
        </w:rPr>
        <w:t>附表：候选个人合作情况汇总表</w:t>
      </w:r>
    </w:p>
    <w:tbl>
      <w:tblPr>
        <w:tblStyle w:val="9"/>
        <w:tblW w:w="13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3"/>
        <w:gridCol w:w="1701"/>
        <w:gridCol w:w="2268"/>
        <w:gridCol w:w="1275"/>
        <w:gridCol w:w="5387"/>
        <w:gridCol w:w="1134"/>
        <w:gridCol w:w="970"/>
      </w:tblGrid>
      <w:tr w14:paraId="0C49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5D52CEAB">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序号</w:t>
            </w:r>
          </w:p>
        </w:tc>
        <w:tc>
          <w:tcPr>
            <w:tcW w:w="1701" w:type="dxa"/>
            <w:tcBorders>
              <w:top w:val="single" w:color="000000" w:sz="4" w:space="0"/>
              <w:left w:val="nil"/>
              <w:bottom w:val="single" w:color="000000" w:sz="4" w:space="0"/>
              <w:right w:val="single" w:color="000000" w:sz="4" w:space="0"/>
            </w:tcBorders>
            <w:vAlign w:val="center"/>
          </w:tcPr>
          <w:p w14:paraId="4CCF4E03">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合作方式</w:t>
            </w:r>
          </w:p>
        </w:tc>
        <w:tc>
          <w:tcPr>
            <w:tcW w:w="2268" w:type="dxa"/>
            <w:tcBorders>
              <w:top w:val="single" w:color="000000" w:sz="4" w:space="0"/>
              <w:left w:val="nil"/>
              <w:bottom w:val="single" w:color="000000" w:sz="4" w:space="0"/>
              <w:right w:val="single" w:color="000000" w:sz="4" w:space="0"/>
            </w:tcBorders>
            <w:vAlign w:val="center"/>
          </w:tcPr>
          <w:p w14:paraId="47F0A567">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合作者</w:t>
            </w:r>
          </w:p>
        </w:tc>
        <w:tc>
          <w:tcPr>
            <w:tcW w:w="1275" w:type="dxa"/>
            <w:tcBorders>
              <w:top w:val="single" w:color="000000" w:sz="4" w:space="0"/>
              <w:left w:val="nil"/>
              <w:bottom w:val="single" w:color="000000" w:sz="4" w:space="0"/>
              <w:right w:val="single" w:color="000000" w:sz="4" w:space="0"/>
            </w:tcBorders>
            <w:vAlign w:val="center"/>
          </w:tcPr>
          <w:p w14:paraId="760631D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合作时间</w:t>
            </w:r>
          </w:p>
        </w:tc>
        <w:tc>
          <w:tcPr>
            <w:tcW w:w="5387" w:type="dxa"/>
            <w:tcBorders>
              <w:top w:val="single" w:color="000000" w:sz="4" w:space="0"/>
              <w:left w:val="nil"/>
              <w:bottom w:val="single" w:color="000000" w:sz="4" w:space="0"/>
              <w:right w:val="single" w:color="000000" w:sz="4" w:space="0"/>
            </w:tcBorders>
            <w:vAlign w:val="center"/>
          </w:tcPr>
          <w:p w14:paraId="66B3D622">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合作成果</w:t>
            </w:r>
          </w:p>
        </w:tc>
        <w:tc>
          <w:tcPr>
            <w:tcW w:w="1134" w:type="dxa"/>
            <w:tcBorders>
              <w:top w:val="single" w:color="000000" w:sz="4" w:space="0"/>
              <w:left w:val="nil"/>
              <w:bottom w:val="single" w:color="000000" w:sz="4" w:space="0"/>
              <w:right w:val="single" w:color="000000" w:sz="4" w:space="0"/>
            </w:tcBorders>
            <w:vAlign w:val="center"/>
          </w:tcPr>
          <w:p w14:paraId="1C2AB11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附件编号</w:t>
            </w:r>
          </w:p>
        </w:tc>
        <w:tc>
          <w:tcPr>
            <w:tcW w:w="970" w:type="dxa"/>
            <w:tcBorders>
              <w:top w:val="single" w:color="000000" w:sz="4" w:space="0"/>
              <w:left w:val="nil"/>
              <w:bottom w:val="single" w:color="000000" w:sz="4" w:space="0"/>
              <w:right w:val="single" w:color="000000" w:sz="4" w:space="0"/>
            </w:tcBorders>
            <w:vAlign w:val="center"/>
          </w:tcPr>
          <w:p w14:paraId="2CD897EC">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备注</w:t>
            </w:r>
          </w:p>
        </w:tc>
      </w:tr>
      <w:tr w14:paraId="69E43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689FB6FD">
            <w:pPr>
              <w:widowControl w:val="0"/>
              <w:adjustRightInd w:val="0"/>
              <w:snapToGrid w:val="0"/>
              <w:spacing w:line="320" w:lineRule="exact"/>
              <w:jc w:val="center"/>
              <w:outlineLvl w:val="1"/>
              <w:rPr>
                <w:rFonts w:eastAsia="方正黑体_GBK"/>
                <w:snapToGrid w:val="0"/>
                <w:color w:val="000000"/>
                <w:sz w:val="18"/>
                <w:szCs w:val="18"/>
              </w:rPr>
            </w:pPr>
            <w:r>
              <w:rPr>
                <w:rFonts w:hint="eastAsia" w:eastAsia="方正黑体_GBK"/>
                <w:snapToGrid w:val="0"/>
                <w:color w:val="000000"/>
                <w:sz w:val="18"/>
                <w:szCs w:val="18"/>
              </w:rPr>
              <w:t>1</w:t>
            </w:r>
          </w:p>
        </w:tc>
        <w:tc>
          <w:tcPr>
            <w:tcW w:w="1701" w:type="dxa"/>
            <w:tcBorders>
              <w:top w:val="single" w:color="000000" w:sz="4" w:space="0"/>
              <w:left w:val="nil"/>
              <w:bottom w:val="single" w:color="000000" w:sz="4" w:space="0"/>
              <w:right w:val="single" w:color="000000" w:sz="4" w:space="0"/>
            </w:tcBorders>
            <w:vAlign w:val="center"/>
          </w:tcPr>
          <w:p w14:paraId="523BF621">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bookmarkStart w:id="22" w:name="OLE_LINK78"/>
            <w:bookmarkStart w:id="23" w:name="OLE_LINK79"/>
            <w:r>
              <w:rPr>
                <w:rFonts w:hint="eastAsia" w:asciiTheme="minorEastAsia" w:hAnsiTheme="minorEastAsia" w:eastAsiaTheme="minorEastAsia"/>
                <w:snapToGrid w:val="0"/>
                <w:color w:val="000000"/>
                <w:sz w:val="18"/>
                <w:szCs w:val="18"/>
              </w:rPr>
              <w:t>发明</w:t>
            </w:r>
            <w:r>
              <w:rPr>
                <w:rFonts w:asciiTheme="minorEastAsia" w:hAnsiTheme="minorEastAsia" w:eastAsiaTheme="minorEastAsia"/>
                <w:snapToGrid w:val="0"/>
                <w:color w:val="000000"/>
                <w:sz w:val="18"/>
                <w:szCs w:val="18"/>
              </w:rPr>
              <w:t>专利</w:t>
            </w:r>
            <w:bookmarkEnd w:id="22"/>
            <w:bookmarkEnd w:id="23"/>
          </w:p>
        </w:tc>
        <w:tc>
          <w:tcPr>
            <w:tcW w:w="2268" w:type="dxa"/>
            <w:tcBorders>
              <w:top w:val="single" w:color="000000" w:sz="4" w:space="0"/>
              <w:left w:val="nil"/>
              <w:bottom w:val="single" w:color="000000" w:sz="4" w:space="0"/>
              <w:right w:val="single" w:color="000000" w:sz="4" w:space="0"/>
            </w:tcBorders>
            <w:vAlign w:val="center"/>
          </w:tcPr>
          <w:p w14:paraId="615E313E">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bookmarkStart w:id="24" w:name="OLE_LINK9"/>
            <w:bookmarkStart w:id="25" w:name="OLE_LINK8"/>
            <w:bookmarkStart w:id="26" w:name="OLE_LINK34"/>
            <w:bookmarkStart w:id="27" w:name="OLE_LINK35"/>
            <w:r>
              <w:rPr>
                <w:rFonts w:asciiTheme="minorEastAsia" w:hAnsiTheme="minorEastAsia" w:eastAsiaTheme="minorEastAsia"/>
                <w:color w:val="000000" w:themeColor="text1"/>
                <w:kern w:val="0"/>
                <w:sz w:val="18"/>
                <w:szCs w:val="18"/>
                <w14:textFill>
                  <w14:solidFill>
                    <w14:schemeClr w14:val="tx1"/>
                  </w14:solidFill>
                </w14:textFill>
              </w:rPr>
              <w:t>苗蕾，</w:t>
            </w:r>
            <w:bookmarkEnd w:id="24"/>
            <w:bookmarkEnd w:id="25"/>
            <w:bookmarkEnd w:id="26"/>
            <w:bookmarkEnd w:id="27"/>
            <w:r>
              <w:rPr>
                <w:rFonts w:hint="eastAsia" w:asciiTheme="minorEastAsia" w:hAnsiTheme="minorEastAsia" w:eastAsiaTheme="minorEastAsia"/>
                <w:color w:val="000000" w:themeColor="text1"/>
                <w:kern w:val="0"/>
                <w:sz w:val="18"/>
                <w:szCs w:val="18"/>
                <w14:textFill>
                  <w14:solidFill>
                    <w14:schemeClr w14:val="tx1"/>
                  </w14:solidFill>
                </w14:textFill>
              </w:rPr>
              <w:t>陈俊良，</w:t>
            </w:r>
            <w:r>
              <w:rPr>
                <w:rFonts w:asciiTheme="minorEastAsia" w:hAnsiTheme="minorEastAsia" w:eastAsiaTheme="minorEastAsia"/>
                <w:snapToGrid w:val="0"/>
                <w:color w:val="000000"/>
                <w:kern w:val="0"/>
                <w:sz w:val="18"/>
                <w:szCs w:val="18"/>
              </w:rPr>
              <w:t>高杰，</w:t>
            </w:r>
            <w:r>
              <w:rPr>
                <w:rFonts w:hint="eastAsia" w:asciiTheme="minorEastAsia" w:hAnsiTheme="minorEastAsia" w:eastAsiaTheme="minorEastAsia"/>
                <w:snapToGrid w:val="0"/>
                <w:color w:val="000000"/>
                <w:kern w:val="0"/>
                <w:sz w:val="18"/>
                <w:szCs w:val="18"/>
              </w:rPr>
              <w:t>广西玉柴机器股份有限公司（玉柴芯蓝新能源动力科技有限公司）团队</w:t>
            </w:r>
          </w:p>
        </w:tc>
        <w:tc>
          <w:tcPr>
            <w:tcW w:w="1275" w:type="dxa"/>
            <w:tcBorders>
              <w:top w:val="single" w:color="000000" w:sz="4" w:space="0"/>
              <w:left w:val="nil"/>
              <w:bottom w:val="single" w:color="000000" w:sz="4" w:space="0"/>
              <w:right w:val="single" w:color="000000" w:sz="4" w:space="0"/>
            </w:tcBorders>
            <w:vAlign w:val="center"/>
          </w:tcPr>
          <w:p w14:paraId="75940EE2">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2022-2026</w:t>
            </w:r>
          </w:p>
        </w:tc>
        <w:tc>
          <w:tcPr>
            <w:tcW w:w="5387" w:type="dxa"/>
            <w:tcBorders>
              <w:top w:val="single" w:color="000000" w:sz="4" w:space="0"/>
              <w:left w:val="nil"/>
              <w:bottom w:val="single" w:color="000000" w:sz="4" w:space="0"/>
              <w:right w:val="single" w:color="000000" w:sz="4" w:space="0"/>
            </w:tcBorders>
            <w:vAlign w:val="center"/>
          </w:tcPr>
          <w:p w14:paraId="4C0BDB81">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color w:val="000000" w:themeColor="text1"/>
                <w:kern w:val="0"/>
                <w:sz w:val="18"/>
                <w:szCs w:val="18"/>
                <w14:textFill>
                  <w14:solidFill>
                    <w14:schemeClr w14:val="tx1"/>
                  </w14:solidFill>
                </w14:textFill>
              </w:rPr>
              <w:t>发明专利“</w:t>
            </w:r>
            <w:r>
              <w:rPr>
                <w:rFonts w:asciiTheme="minorEastAsia" w:hAnsiTheme="minorEastAsia" w:eastAsiaTheme="minorEastAsia"/>
                <w:snapToGrid w:val="0"/>
                <w:sz w:val="18"/>
                <w:szCs w:val="18"/>
              </w:rPr>
              <w:t>一种快速制备高热电性能n型Mg</w:t>
            </w:r>
            <w:r>
              <w:rPr>
                <w:rFonts w:asciiTheme="minorEastAsia" w:hAnsiTheme="minorEastAsia" w:eastAsiaTheme="minorEastAsia"/>
                <w:snapToGrid w:val="0"/>
                <w:sz w:val="18"/>
                <w:szCs w:val="18"/>
                <w:vertAlign w:val="subscript"/>
              </w:rPr>
              <w:t>3</w:t>
            </w:r>
            <w:r>
              <w:rPr>
                <w:rFonts w:asciiTheme="minorEastAsia" w:hAnsiTheme="minorEastAsia" w:eastAsiaTheme="minorEastAsia"/>
                <w:snapToGrid w:val="0"/>
                <w:sz w:val="18"/>
                <w:szCs w:val="18"/>
              </w:rPr>
              <w:t>Sb</w:t>
            </w:r>
            <w:r>
              <w:rPr>
                <w:rFonts w:asciiTheme="minorEastAsia" w:hAnsiTheme="minorEastAsia" w:eastAsiaTheme="minorEastAsia"/>
                <w:snapToGrid w:val="0"/>
                <w:sz w:val="18"/>
                <w:szCs w:val="18"/>
                <w:vertAlign w:val="subscript"/>
              </w:rPr>
              <w:t>2</w:t>
            </w:r>
            <w:r>
              <w:rPr>
                <w:rFonts w:asciiTheme="minorEastAsia" w:hAnsiTheme="minorEastAsia" w:eastAsiaTheme="minorEastAsia"/>
                <w:snapToGrid w:val="0"/>
                <w:sz w:val="18"/>
                <w:szCs w:val="18"/>
              </w:rPr>
              <w:t>基材料的方法</w:t>
            </w:r>
            <w:r>
              <w:rPr>
                <w:rFonts w:asciiTheme="minorEastAsia" w:hAnsiTheme="minorEastAsia" w:eastAsiaTheme="minorEastAsia"/>
                <w:color w:val="000000" w:themeColor="text1"/>
                <w:kern w:val="0"/>
                <w:sz w:val="18"/>
                <w:szCs w:val="18"/>
                <w14:textFill>
                  <w14:solidFill>
                    <w14:schemeClr w14:val="tx1"/>
                  </w14:solidFill>
                </w14:textFill>
              </w:rPr>
              <w:t>”、“</w:t>
            </w:r>
            <w:r>
              <w:rPr>
                <w:rFonts w:asciiTheme="minorEastAsia" w:hAnsiTheme="minorEastAsia" w:eastAsiaTheme="minorEastAsia"/>
                <w:snapToGrid w:val="0"/>
                <w:sz w:val="18"/>
                <w:szCs w:val="18"/>
              </w:rPr>
              <w:t>一种高性能石榴石结构锂离子固态电解质片的常压烧结方法</w:t>
            </w:r>
            <w:r>
              <w:rPr>
                <w:rFonts w:asciiTheme="minorEastAsia" w:hAnsiTheme="minorEastAsia" w:eastAsiaTheme="minorEastAsia"/>
                <w:color w:val="000000" w:themeColor="text1"/>
                <w:kern w:val="0"/>
                <w:sz w:val="18"/>
                <w:szCs w:val="18"/>
                <w14:textFill>
                  <w14:solidFill>
                    <w14:schemeClr w14:val="tx1"/>
                  </w14:solidFill>
                </w14:textFill>
              </w:rPr>
              <w:t>”</w:t>
            </w:r>
          </w:p>
        </w:tc>
        <w:tc>
          <w:tcPr>
            <w:tcW w:w="1134" w:type="dxa"/>
            <w:tcBorders>
              <w:top w:val="single" w:color="000000" w:sz="4" w:space="0"/>
              <w:left w:val="nil"/>
              <w:bottom w:val="single" w:color="000000" w:sz="4" w:space="0"/>
              <w:right w:val="single" w:color="000000" w:sz="4" w:space="0"/>
            </w:tcBorders>
            <w:vAlign w:val="center"/>
          </w:tcPr>
          <w:p w14:paraId="7DF0B0D0">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color w:val="000000" w:themeColor="text1"/>
                <w:kern w:val="0"/>
                <w:sz w:val="18"/>
                <w:szCs w:val="18"/>
                <w14:textFill>
                  <w14:solidFill>
                    <w14:schemeClr w14:val="tx1"/>
                  </w14:solidFill>
                </w14:textFill>
              </w:rPr>
              <w:t>1-2,1-5</w:t>
            </w:r>
          </w:p>
        </w:tc>
        <w:tc>
          <w:tcPr>
            <w:tcW w:w="970" w:type="dxa"/>
            <w:tcBorders>
              <w:top w:val="single" w:color="000000" w:sz="4" w:space="0"/>
              <w:left w:val="nil"/>
              <w:bottom w:val="single" w:color="000000" w:sz="4" w:space="0"/>
              <w:right w:val="single" w:color="000000" w:sz="4" w:space="0"/>
            </w:tcBorders>
            <w:vAlign w:val="center"/>
          </w:tcPr>
          <w:p w14:paraId="15BC0A4F">
            <w:pPr>
              <w:widowControl w:val="0"/>
              <w:adjustRightInd w:val="0"/>
              <w:snapToGrid w:val="0"/>
              <w:spacing w:line="320" w:lineRule="exact"/>
              <w:jc w:val="center"/>
              <w:outlineLvl w:val="1"/>
              <w:rPr>
                <w:rFonts w:eastAsia="方正黑体_GBK"/>
                <w:snapToGrid w:val="0"/>
                <w:color w:val="000000"/>
                <w:sz w:val="18"/>
                <w:szCs w:val="18"/>
              </w:rPr>
            </w:pPr>
          </w:p>
        </w:tc>
      </w:tr>
      <w:tr w14:paraId="1B2C4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25791B7C">
            <w:pPr>
              <w:widowControl w:val="0"/>
              <w:adjustRightInd w:val="0"/>
              <w:snapToGrid w:val="0"/>
              <w:spacing w:line="320" w:lineRule="exact"/>
              <w:jc w:val="center"/>
              <w:outlineLvl w:val="1"/>
              <w:rPr>
                <w:rFonts w:eastAsia="方正黑体_GBK"/>
                <w:snapToGrid w:val="0"/>
                <w:color w:val="000000"/>
                <w:sz w:val="18"/>
                <w:szCs w:val="18"/>
              </w:rPr>
            </w:pPr>
            <w:r>
              <w:rPr>
                <w:rFonts w:hint="eastAsia" w:eastAsia="方正黑体_GBK"/>
                <w:snapToGrid w:val="0"/>
                <w:color w:val="000000"/>
                <w:sz w:val="18"/>
                <w:szCs w:val="18"/>
              </w:rPr>
              <w:t>2</w:t>
            </w:r>
          </w:p>
        </w:tc>
        <w:tc>
          <w:tcPr>
            <w:tcW w:w="1701" w:type="dxa"/>
            <w:tcBorders>
              <w:top w:val="single" w:color="000000" w:sz="4" w:space="0"/>
              <w:left w:val="nil"/>
              <w:bottom w:val="single" w:color="000000" w:sz="4" w:space="0"/>
              <w:right w:val="single" w:color="000000" w:sz="4" w:space="0"/>
            </w:tcBorders>
            <w:vAlign w:val="center"/>
          </w:tcPr>
          <w:p w14:paraId="32201D85">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论文</w:t>
            </w:r>
          </w:p>
        </w:tc>
        <w:tc>
          <w:tcPr>
            <w:tcW w:w="2268" w:type="dxa"/>
            <w:tcBorders>
              <w:top w:val="single" w:color="000000" w:sz="4" w:space="0"/>
              <w:left w:val="nil"/>
              <w:bottom w:val="single" w:color="000000" w:sz="4" w:space="0"/>
              <w:right w:val="single" w:color="000000" w:sz="4" w:space="0"/>
            </w:tcBorders>
            <w:vAlign w:val="center"/>
          </w:tcPr>
          <w:p w14:paraId="15193702">
            <w:pPr>
              <w:widowControl w:val="0"/>
              <w:adjustRightInd w:val="0"/>
              <w:snapToGrid w:val="0"/>
              <w:spacing w:line="320" w:lineRule="exact"/>
              <w:jc w:val="center"/>
              <w:outlineLvl w:val="1"/>
              <w:rPr>
                <w:rFonts w:asciiTheme="minorEastAsia" w:hAnsiTheme="minorEastAsia" w:eastAsiaTheme="minorEastAsia"/>
                <w:color w:val="000000" w:themeColor="text1"/>
                <w:kern w:val="0"/>
                <w:sz w:val="18"/>
                <w:szCs w:val="18"/>
                <w14:textFill>
                  <w14:solidFill>
                    <w14:schemeClr w14:val="tx1"/>
                  </w14:solidFill>
                </w14:textFill>
              </w:rPr>
            </w:pPr>
            <w:r>
              <w:rPr>
                <w:rFonts w:hint="eastAsia" w:asciiTheme="minorEastAsia" w:hAnsiTheme="minorEastAsia" w:eastAsiaTheme="minorEastAsia"/>
                <w:color w:val="000000" w:themeColor="text1"/>
                <w:kern w:val="0"/>
                <w:sz w:val="18"/>
                <w:szCs w:val="18"/>
                <w14:textFill>
                  <w14:solidFill>
                    <w14:schemeClr w14:val="tx1"/>
                  </w14:solidFill>
                </w14:textFill>
              </w:rPr>
              <w:t>周建华，陈俊良，柯善军，刘呈燕</w:t>
            </w:r>
          </w:p>
        </w:tc>
        <w:tc>
          <w:tcPr>
            <w:tcW w:w="1275" w:type="dxa"/>
            <w:tcBorders>
              <w:top w:val="single" w:color="000000" w:sz="4" w:space="0"/>
              <w:left w:val="nil"/>
              <w:bottom w:val="single" w:color="000000" w:sz="4" w:space="0"/>
              <w:right w:val="single" w:color="000000" w:sz="4" w:space="0"/>
            </w:tcBorders>
            <w:vAlign w:val="center"/>
          </w:tcPr>
          <w:p w14:paraId="03600A58">
            <w:pPr>
              <w:widowControl w:val="0"/>
              <w:adjustRightInd w:val="0"/>
              <w:snapToGrid w:val="0"/>
              <w:spacing w:line="320" w:lineRule="exact"/>
              <w:jc w:val="center"/>
              <w:outlineLvl w:val="1"/>
              <w:rPr>
                <w:rFonts w:asciiTheme="minorEastAsia" w:hAnsiTheme="minorEastAsia" w:eastAsiaTheme="minorEastAsia"/>
                <w:color w:val="0F1115"/>
                <w:sz w:val="18"/>
                <w:szCs w:val="18"/>
                <w:shd w:val="clear" w:color="auto" w:fill="FFFFFF"/>
              </w:rPr>
            </w:pPr>
            <w:r>
              <w:rPr>
                <w:rFonts w:hint="eastAsia" w:asciiTheme="minorEastAsia" w:hAnsiTheme="minorEastAsia" w:eastAsiaTheme="minorEastAsia"/>
                <w:color w:val="0F1115"/>
                <w:sz w:val="18"/>
                <w:szCs w:val="18"/>
                <w:shd w:val="clear" w:color="auto" w:fill="FFFFFF"/>
              </w:rPr>
              <w:t>2024-2026</w:t>
            </w:r>
          </w:p>
        </w:tc>
        <w:tc>
          <w:tcPr>
            <w:tcW w:w="5387" w:type="dxa"/>
            <w:tcBorders>
              <w:top w:val="single" w:color="000000" w:sz="4" w:space="0"/>
              <w:left w:val="nil"/>
              <w:bottom w:val="single" w:color="000000" w:sz="4" w:space="0"/>
              <w:right w:val="single" w:color="000000" w:sz="4" w:space="0"/>
            </w:tcBorders>
            <w:vAlign w:val="center"/>
          </w:tcPr>
          <w:p w14:paraId="16797171">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sz w:val="18"/>
                <w:szCs w:val="18"/>
              </w:rPr>
              <w:t>论文“</w:t>
            </w:r>
            <w:r>
              <w:rPr>
                <w:rFonts w:hint="eastAsia" w:asciiTheme="minorEastAsia" w:hAnsiTheme="minorEastAsia" w:eastAsiaTheme="minorEastAsia"/>
                <w:snapToGrid w:val="0"/>
                <w:sz w:val="18"/>
                <w:szCs w:val="18"/>
              </w:rPr>
              <w:t>Se、S 共掺杂策略提升n 型碲化铋近室温热电性能</w:t>
            </w:r>
            <w:r>
              <w:rPr>
                <w:rFonts w:asciiTheme="minorEastAsia" w:hAnsiTheme="minorEastAsia" w:eastAsiaTheme="minorEastAsia"/>
                <w:snapToGrid w:val="0"/>
                <w:color w:val="000000"/>
                <w:sz w:val="18"/>
                <w:szCs w:val="18"/>
              </w:rPr>
              <w:t>”</w:t>
            </w:r>
          </w:p>
        </w:tc>
        <w:tc>
          <w:tcPr>
            <w:tcW w:w="1134" w:type="dxa"/>
            <w:tcBorders>
              <w:top w:val="single" w:color="000000" w:sz="4" w:space="0"/>
              <w:left w:val="nil"/>
              <w:bottom w:val="single" w:color="000000" w:sz="4" w:space="0"/>
              <w:right w:val="single" w:color="000000" w:sz="4" w:space="0"/>
            </w:tcBorders>
            <w:vAlign w:val="center"/>
          </w:tcPr>
          <w:p w14:paraId="4C01BA9E">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sz w:val="18"/>
                <w:szCs w:val="18"/>
              </w:rPr>
              <w:t>1-12</w:t>
            </w:r>
          </w:p>
        </w:tc>
        <w:tc>
          <w:tcPr>
            <w:tcW w:w="970" w:type="dxa"/>
            <w:tcBorders>
              <w:top w:val="single" w:color="000000" w:sz="4" w:space="0"/>
              <w:left w:val="nil"/>
              <w:bottom w:val="single" w:color="000000" w:sz="4" w:space="0"/>
              <w:right w:val="single" w:color="000000" w:sz="4" w:space="0"/>
            </w:tcBorders>
            <w:vAlign w:val="center"/>
          </w:tcPr>
          <w:p w14:paraId="79610C92">
            <w:pPr>
              <w:widowControl w:val="0"/>
              <w:adjustRightInd w:val="0"/>
              <w:snapToGrid w:val="0"/>
              <w:spacing w:line="320" w:lineRule="exact"/>
              <w:jc w:val="center"/>
              <w:outlineLvl w:val="1"/>
              <w:rPr>
                <w:rFonts w:eastAsia="方正黑体_GBK"/>
                <w:snapToGrid w:val="0"/>
                <w:color w:val="000000"/>
                <w:sz w:val="18"/>
                <w:szCs w:val="18"/>
              </w:rPr>
            </w:pPr>
          </w:p>
        </w:tc>
      </w:tr>
      <w:tr w14:paraId="6839A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74316CFA">
            <w:pPr>
              <w:widowControl w:val="0"/>
              <w:adjustRightInd w:val="0"/>
              <w:snapToGrid w:val="0"/>
              <w:spacing w:line="320" w:lineRule="exact"/>
              <w:jc w:val="center"/>
              <w:outlineLvl w:val="1"/>
              <w:rPr>
                <w:rFonts w:eastAsia="方正黑体_GBK"/>
                <w:snapToGrid w:val="0"/>
                <w:color w:val="000000"/>
                <w:sz w:val="18"/>
                <w:szCs w:val="18"/>
              </w:rPr>
            </w:pPr>
            <w:r>
              <w:rPr>
                <w:rFonts w:hint="eastAsia" w:eastAsia="方正黑体_GBK"/>
                <w:snapToGrid w:val="0"/>
                <w:color w:val="000000"/>
                <w:sz w:val="18"/>
                <w:szCs w:val="18"/>
              </w:rPr>
              <w:t>3</w:t>
            </w:r>
          </w:p>
        </w:tc>
        <w:tc>
          <w:tcPr>
            <w:tcW w:w="1701" w:type="dxa"/>
            <w:tcBorders>
              <w:top w:val="single" w:color="000000" w:sz="4" w:space="0"/>
              <w:left w:val="nil"/>
              <w:bottom w:val="single" w:color="000000" w:sz="4" w:space="0"/>
              <w:right w:val="single" w:color="000000" w:sz="4" w:space="0"/>
            </w:tcBorders>
          </w:tcPr>
          <w:p w14:paraId="272EBAF8">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论文</w:t>
            </w:r>
          </w:p>
        </w:tc>
        <w:tc>
          <w:tcPr>
            <w:tcW w:w="2268" w:type="dxa"/>
            <w:tcBorders>
              <w:top w:val="single" w:color="000000" w:sz="4" w:space="0"/>
              <w:left w:val="nil"/>
              <w:bottom w:val="single" w:color="000000" w:sz="4" w:space="0"/>
              <w:right w:val="single" w:color="000000" w:sz="4" w:space="0"/>
            </w:tcBorders>
            <w:vAlign w:val="center"/>
          </w:tcPr>
          <w:p w14:paraId="46C77138">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color w:val="000000" w:themeColor="text1"/>
                <w:kern w:val="0"/>
                <w:sz w:val="18"/>
                <w:szCs w:val="18"/>
                <w14:textFill>
                  <w14:solidFill>
                    <w14:schemeClr w14:val="tx1"/>
                  </w14:solidFill>
                </w14:textFill>
              </w:rPr>
              <w:t>苗蕾，高杰，陈俊良，朱思靖，张忠玮，张文涛，陈建民</w:t>
            </w:r>
          </w:p>
        </w:tc>
        <w:tc>
          <w:tcPr>
            <w:tcW w:w="1275" w:type="dxa"/>
            <w:tcBorders>
              <w:top w:val="single" w:color="000000" w:sz="4" w:space="0"/>
              <w:left w:val="nil"/>
              <w:bottom w:val="single" w:color="000000" w:sz="4" w:space="0"/>
              <w:right w:val="single" w:color="000000" w:sz="4" w:space="0"/>
            </w:tcBorders>
            <w:vAlign w:val="center"/>
          </w:tcPr>
          <w:p w14:paraId="6C4F42DD">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color w:val="0F1115"/>
                <w:sz w:val="18"/>
                <w:szCs w:val="18"/>
                <w:shd w:val="clear" w:color="auto" w:fill="FFFFFF"/>
              </w:rPr>
              <w:t>202</w:t>
            </w:r>
            <w:r>
              <w:rPr>
                <w:rFonts w:hint="eastAsia" w:asciiTheme="minorEastAsia" w:hAnsiTheme="minorEastAsia" w:eastAsiaTheme="minorEastAsia"/>
                <w:color w:val="0F1115"/>
                <w:sz w:val="18"/>
                <w:szCs w:val="18"/>
                <w:shd w:val="clear" w:color="auto" w:fill="FFFFFF"/>
              </w:rPr>
              <w:t>4</w:t>
            </w:r>
            <w:r>
              <w:rPr>
                <w:rFonts w:hint="eastAsia" w:cs="宋体" w:asciiTheme="minorEastAsia" w:hAnsiTheme="minorEastAsia" w:eastAsiaTheme="minorEastAsia"/>
                <w:color w:val="0F1115"/>
                <w:sz w:val="18"/>
                <w:szCs w:val="18"/>
                <w:shd w:val="clear" w:color="auto" w:fill="FFFFFF"/>
              </w:rPr>
              <w:t>至今</w:t>
            </w:r>
          </w:p>
        </w:tc>
        <w:tc>
          <w:tcPr>
            <w:tcW w:w="5387" w:type="dxa"/>
            <w:tcBorders>
              <w:top w:val="single" w:color="000000" w:sz="4" w:space="0"/>
              <w:left w:val="nil"/>
              <w:bottom w:val="single" w:color="000000" w:sz="4" w:space="0"/>
              <w:right w:val="single" w:color="000000" w:sz="4" w:space="0"/>
            </w:tcBorders>
            <w:vAlign w:val="center"/>
          </w:tcPr>
          <w:p w14:paraId="37C50A1A">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kern w:val="0"/>
                <w:sz w:val="18"/>
                <w:szCs w:val="18"/>
              </w:rPr>
              <w:t>论文“</w:t>
            </w:r>
            <w:r>
              <w:rPr>
                <w:rFonts w:hint="eastAsia" w:asciiTheme="minorEastAsia" w:hAnsiTheme="minorEastAsia" w:eastAsiaTheme="minorEastAsia"/>
                <w:snapToGrid w:val="0"/>
                <w:sz w:val="18"/>
                <w:szCs w:val="18"/>
              </w:rPr>
              <w:t>Synergistic shallow impurity levels and multiscale defect engineering in GeTe-based thermoelectrics</w:t>
            </w:r>
            <w:r>
              <w:rPr>
                <w:rFonts w:asciiTheme="minorEastAsia" w:hAnsiTheme="minorEastAsia" w:eastAsiaTheme="minorEastAsia"/>
                <w:snapToGrid w:val="0"/>
                <w:color w:val="000000"/>
                <w:kern w:val="0"/>
                <w:sz w:val="18"/>
                <w:szCs w:val="18"/>
              </w:rPr>
              <w:t>”</w:t>
            </w:r>
          </w:p>
        </w:tc>
        <w:tc>
          <w:tcPr>
            <w:tcW w:w="1134" w:type="dxa"/>
            <w:tcBorders>
              <w:top w:val="single" w:color="000000" w:sz="4" w:space="0"/>
              <w:left w:val="nil"/>
              <w:bottom w:val="single" w:color="000000" w:sz="4" w:space="0"/>
              <w:right w:val="single" w:color="000000" w:sz="4" w:space="0"/>
            </w:tcBorders>
            <w:vAlign w:val="center"/>
          </w:tcPr>
          <w:p w14:paraId="1D215DFD">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1-10</w:t>
            </w:r>
          </w:p>
        </w:tc>
        <w:tc>
          <w:tcPr>
            <w:tcW w:w="970" w:type="dxa"/>
            <w:tcBorders>
              <w:top w:val="single" w:color="000000" w:sz="4" w:space="0"/>
              <w:left w:val="nil"/>
              <w:bottom w:val="single" w:color="000000" w:sz="4" w:space="0"/>
              <w:right w:val="single" w:color="000000" w:sz="4" w:space="0"/>
            </w:tcBorders>
            <w:vAlign w:val="center"/>
          </w:tcPr>
          <w:p w14:paraId="241F84E2">
            <w:pPr>
              <w:widowControl w:val="0"/>
              <w:adjustRightInd w:val="0"/>
              <w:snapToGrid w:val="0"/>
              <w:spacing w:line="320" w:lineRule="exact"/>
              <w:jc w:val="center"/>
              <w:outlineLvl w:val="1"/>
              <w:rPr>
                <w:rFonts w:eastAsia="方正黑体_GBK"/>
                <w:snapToGrid w:val="0"/>
                <w:color w:val="000000"/>
                <w:sz w:val="18"/>
                <w:szCs w:val="18"/>
              </w:rPr>
            </w:pPr>
          </w:p>
        </w:tc>
      </w:tr>
      <w:tr w14:paraId="34341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05E2611C">
            <w:pPr>
              <w:widowControl w:val="0"/>
              <w:adjustRightInd w:val="0"/>
              <w:snapToGrid w:val="0"/>
              <w:spacing w:line="320" w:lineRule="exact"/>
              <w:jc w:val="center"/>
              <w:outlineLvl w:val="1"/>
              <w:rPr>
                <w:rFonts w:eastAsia="方正黑体_GBK"/>
                <w:snapToGrid w:val="0"/>
                <w:color w:val="000000"/>
                <w:sz w:val="18"/>
                <w:szCs w:val="18"/>
              </w:rPr>
            </w:pPr>
            <w:r>
              <w:rPr>
                <w:rFonts w:hint="eastAsia" w:eastAsia="方正黑体_GBK"/>
                <w:snapToGrid w:val="0"/>
                <w:color w:val="000000"/>
                <w:sz w:val="18"/>
                <w:szCs w:val="18"/>
              </w:rPr>
              <w:t>4</w:t>
            </w:r>
          </w:p>
        </w:tc>
        <w:tc>
          <w:tcPr>
            <w:tcW w:w="1701" w:type="dxa"/>
            <w:tcBorders>
              <w:top w:val="single" w:color="000000" w:sz="4" w:space="0"/>
              <w:left w:val="nil"/>
              <w:bottom w:val="single" w:color="000000" w:sz="4" w:space="0"/>
              <w:right w:val="single" w:color="000000" w:sz="4" w:space="0"/>
            </w:tcBorders>
          </w:tcPr>
          <w:p w14:paraId="58B4160F">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论文</w:t>
            </w:r>
          </w:p>
        </w:tc>
        <w:tc>
          <w:tcPr>
            <w:tcW w:w="2268" w:type="dxa"/>
            <w:tcBorders>
              <w:top w:val="single" w:color="000000" w:sz="4" w:space="0"/>
              <w:left w:val="nil"/>
              <w:bottom w:val="single" w:color="000000" w:sz="4" w:space="0"/>
              <w:right w:val="single" w:color="000000" w:sz="4" w:space="0"/>
            </w:tcBorders>
            <w:vAlign w:val="center"/>
          </w:tcPr>
          <w:p w14:paraId="0FBF21B5">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color w:val="000000" w:themeColor="text1"/>
                <w:kern w:val="0"/>
                <w:sz w:val="18"/>
                <w:szCs w:val="18"/>
                <w14:textFill>
                  <w14:solidFill>
                    <w14:schemeClr w14:val="tx1"/>
                  </w14:solidFill>
                </w14:textFill>
              </w:rPr>
              <w:t>苗蕾，王潇漾，</w:t>
            </w:r>
            <w:bookmarkStart w:id="28" w:name="OLE_LINK46"/>
            <w:bookmarkStart w:id="29" w:name="OLE_LINK47"/>
            <w:r>
              <w:rPr>
                <w:rFonts w:asciiTheme="minorEastAsia" w:hAnsiTheme="minorEastAsia" w:eastAsiaTheme="minorEastAsia"/>
                <w:color w:val="000000" w:themeColor="text1"/>
                <w:kern w:val="0"/>
                <w:sz w:val="18"/>
                <w:szCs w:val="18"/>
                <w14:textFill>
                  <w14:solidFill>
                    <w14:schemeClr w14:val="tx1"/>
                  </w14:solidFill>
                </w14:textFill>
              </w:rPr>
              <w:t>洪立秋</w:t>
            </w:r>
            <w:bookmarkEnd w:id="28"/>
            <w:bookmarkEnd w:id="29"/>
          </w:p>
        </w:tc>
        <w:tc>
          <w:tcPr>
            <w:tcW w:w="1275" w:type="dxa"/>
            <w:tcBorders>
              <w:top w:val="single" w:color="000000" w:sz="4" w:space="0"/>
              <w:left w:val="nil"/>
              <w:bottom w:val="single" w:color="000000" w:sz="4" w:space="0"/>
              <w:right w:val="single" w:color="000000" w:sz="4" w:space="0"/>
            </w:tcBorders>
            <w:vAlign w:val="center"/>
          </w:tcPr>
          <w:p w14:paraId="327CD194">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2024至今</w:t>
            </w:r>
          </w:p>
        </w:tc>
        <w:tc>
          <w:tcPr>
            <w:tcW w:w="5387" w:type="dxa"/>
            <w:tcBorders>
              <w:top w:val="single" w:color="000000" w:sz="4" w:space="0"/>
              <w:left w:val="nil"/>
              <w:bottom w:val="single" w:color="000000" w:sz="4" w:space="0"/>
              <w:right w:val="single" w:color="000000" w:sz="4" w:space="0"/>
            </w:tcBorders>
            <w:vAlign w:val="center"/>
          </w:tcPr>
          <w:p w14:paraId="7980F6C6">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kern w:val="0"/>
                <w:sz w:val="18"/>
                <w:szCs w:val="18"/>
              </w:rPr>
              <w:t>论文“</w:t>
            </w:r>
            <w:r>
              <w:rPr>
                <w:rFonts w:hint="eastAsia" w:asciiTheme="minorEastAsia" w:hAnsiTheme="minorEastAsia" w:eastAsiaTheme="minorEastAsia"/>
                <w:snapToGrid w:val="0"/>
                <w:sz w:val="18"/>
                <w:szCs w:val="18"/>
              </w:rPr>
              <w:t>Multilayer Gradient PVA/SiO</w:t>
            </w:r>
            <w:r>
              <w:rPr>
                <w:rFonts w:hint="eastAsia" w:asciiTheme="minorEastAsia" w:hAnsiTheme="minorEastAsia" w:eastAsiaTheme="minorEastAsia"/>
                <w:snapToGrid w:val="0"/>
                <w:sz w:val="18"/>
                <w:szCs w:val="18"/>
                <w:vertAlign w:val="subscript"/>
              </w:rPr>
              <w:t>2</w:t>
            </w:r>
            <w:r>
              <w:rPr>
                <w:rFonts w:hint="eastAsia" w:asciiTheme="minorEastAsia" w:hAnsiTheme="minorEastAsia" w:eastAsiaTheme="minorEastAsia"/>
                <w:snapToGrid w:val="0"/>
                <w:sz w:val="18"/>
                <w:szCs w:val="18"/>
              </w:rPr>
              <w:t xml:space="preserve"> Aerogel Composites with Enhanced Thermal Insulation and Structural Integrity</w:t>
            </w:r>
            <w:r>
              <w:rPr>
                <w:rFonts w:asciiTheme="minorEastAsia" w:hAnsiTheme="minorEastAsia" w:eastAsiaTheme="minorEastAsia"/>
                <w:snapToGrid w:val="0"/>
                <w:color w:val="000000"/>
                <w:kern w:val="0"/>
                <w:sz w:val="18"/>
                <w:szCs w:val="18"/>
              </w:rPr>
              <w:t>”</w:t>
            </w:r>
          </w:p>
        </w:tc>
        <w:tc>
          <w:tcPr>
            <w:tcW w:w="1134" w:type="dxa"/>
            <w:tcBorders>
              <w:top w:val="single" w:color="000000" w:sz="4" w:space="0"/>
              <w:left w:val="nil"/>
              <w:bottom w:val="single" w:color="000000" w:sz="4" w:space="0"/>
              <w:right w:val="single" w:color="000000" w:sz="4" w:space="0"/>
            </w:tcBorders>
            <w:vAlign w:val="center"/>
          </w:tcPr>
          <w:p w14:paraId="63880C3A">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1-11</w:t>
            </w:r>
          </w:p>
        </w:tc>
        <w:tc>
          <w:tcPr>
            <w:tcW w:w="970" w:type="dxa"/>
            <w:tcBorders>
              <w:top w:val="single" w:color="000000" w:sz="4" w:space="0"/>
              <w:left w:val="nil"/>
              <w:bottom w:val="single" w:color="000000" w:sz="4" w:space="0"/>
              <w:right w:val="single" w:color="000000" w:sz="4" w:space="0"/>
            </w:tcBorders>
            <w:vAlign w:val="center"/>
          </w:tcPr>
          <w:p w14:paraId="754A0879">
            <w:pPr>
              <w:widowControl w:val="0"/>
              <w:adjustRightInd w:val="0"/>
              <w:snapToGrid w:val="0"/>
              <w:spacing w:line="320" w:lineRule="exact"/>
              <w:jc w:val="center"/>
              <w:outlineLvl w:val="1"/>
              <w:rPr>
                <w:rFonts w:eastAsia="方正黑体_GBK"/>
                <w:snapToGrid w:val="0"/>
                <w:color w:val="000000"/>
                <w:sz w:val="18"/>
                <w:szCs w:val="18"/>
              </w:rPr>
            </w:pPr>
          </w:p>
        </w:tc>
      </w:tr>
      <w:tr w14:paraId="26D69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4C652DFB">
            <w:pPr>
              <w:widowControl w:val="0"/>
              <w:adjustRightInd w:val="0"/>
              <w:snapToGrid w:val="0"/>
              <w:spacing w:line="320" w:lineRule="exact"/>
              <w:jc w:val="center"/>
              <w:outlineLvl w:val="1"/>
              <w:rPr>
                <w:rFonts w:eastAsia="方正黑体_GBK"/>
                <w:snapToGrid w:val="0"/>
                <w:color w:val="000000"/>
                <w:sz w:val="18"/>
                <w:szCs w:val="18"/>
              </w:rPr>
            </w:pPr>
            <w:r>
              <w:rPr>
                <w:rFonts w:hint="eastAsia" w:eastAsia="方正黑体_GBK"/>
                <w:snapToGrid w:val="0"/>
                <w:color w:val="000000"/>
                <w:sz w:val="18"/>
                <w:szCs w:val="18"/>
              </w:rPr>
              <w:t>5</w:t>
            </w:r>
          </w:p>
        </w:tc>
        <w:tc>
          <w:tcPr>
            <w:tcW w:w="1701" w:type="dxa"/>
            <w:tcBorders>
              <w:top w:val="single" w:color="000000" w:sz="4" w:space="0"/>
              <w:left w:val="nil"/>
              <w:bottom w:val="single" w:color="000000" w:sz="4" w:space="0"/>
              <w:right w:val="single" w:color="000000" w:sz="4" w:space="0"/>
            </w:tcBorders>
          </w:tcPr>
          <w:p w14:paraId="60A1E0BB">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kern w:val="0"/>
                <w:sz w:val="18"/>
                <w:szCs w:val="18"/>
              </w:rPr>
              <w:t>行业标准</w:t>
            </w:r>
          </w:p>
        </w:tc>
        <w:tc>
          <w:tcPr>
            <w:tcW w:w="2268" w:type="dxa"/>
            <w:tcBorders>
              <w:top w:val="single" w:color="000000" w:sz="4" w:space="0"/>
              <w:left w:val="nil"/>
              <w:bottom w:val="single" w:color="000000" w:sz="4" w:space="0"/>
              <w:right w:val="single" w:color="000000" w:sz="4" w:space="0"/>
            </w:tcBorders>
            <w:vAlign w:val="center"/>
          </w:tcPr>
          <w:p w14:paraId="3D374B03">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color w:val="000000" w:themeColor="text1"/>
                <w:kern w:val="0"/>
                <w:sz w:val="18"/>
                <w:szCs w:val="18"/>
                <w14:textFill>
                  <w14:solidFill>
                    <w14:schemeClr w14:val="tx1"/>
                  </w14:solidFill>
                </w14:textFill>
              </w:rPr>
              <w:t>阚宗祥，张文涛，陈建民</w:t>
            </w:r>
          </w:p>
        </w:tc>
        <w:tc>
          <w:tcPr>
            <w:tcW w:w="1275" w:type="dxa"/>
            <w:tcBorders>
              <w:top w:val="single" w:color="000000" w:sz="4" w:space="0"/>
              <w:left w:val="nil"/>
              <w:bottom w:val="single" w:color="000000" w:sz="4" w:space="0"/>
              <w:right w:val="single" w:color="000000" w:sz="4" w:space="0"/>
            </w:tcBorders>
            <w:vAlign w:val="center"/>
          </w:tcPr>
          <w:p w14:paraId="0D458D35">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sz w:val="18"/>
                <w:szCs w:val="18"/>
              </w:rPr>
              <w:t>202</w:t>
            </w:r>
            <w:r>
              <w:rPr>
                <w:rFonts w:hint="eastAsia" w:asciiTheme="minorEastAsia" w:hAnsiTheme="minorEastAsia" w:eastAsiaTheme="minorEastAsia"/>
                <w:snapToGrid w:val="0"/>
                <w:color w:val="000000"/>
                <w:sz w:val="18"/>
                <w:szCs w:val="18"/>
              </w:rPr>
              <w:t>3至今</w:t>
            </w:r>
          </w:p>
        </w:tc>
        <w:tc>
          <w:tcPr>
            <w:tcW w:w="5387" w:type="dxa"/>
            <w:tcBorders>
              <w:top w:val="single" w:color="000000" w:sz="4" w:space="0"/>
              <w:left w:val="nil"/>
              <w:bottom w:val="single" w:color="000000" w:sz="4" w:space="0"/>
              <w:right w:val="single" w:color="000000" w:sz="4" w:space="0"/>
            </w:tcBorders>
            <w:vAlign w:val="center"/>
          </w:tcPr>
          <w:p w14:paraId="4046D8EF">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asciiTheme="minorEastAsia" w:hAnsiTheme="minorEastAsia" w:eastAsiaTheme="minorEastAsia"/>
                <w:snapToGrid w:val="0"/>
                <w:color w:val="000000"/>
                <w:kern w:val="0"/>
                <w:sz w:val="18"/>
                <w:szCs w:val="18"/>
              </w:rPr>
              <w:t>行业标准</w:t>
            </w:r>
          </w:p>
        </w:tc>
        <w:tc>
          <w:tcPr>
            <w:tcW w:w="1134" w:type="dxa"/>
            <w:tcBorders>
              <w:top w:val="single" w:color="000000" w:sz="4" w:space="0"/>
              <w:left w:val="nil"/>
              <w:bottom w:val="single" w:color="000000" w:sz="4" w:space="0"/>
              <w:right w:val="single" w:color="000000" w:sz="4" w:space="0"/>
            </w:tcBorders>
            <w:vAlign w:val="center"/>
          </w:tcPr>
          <w:p w14:paraId="78FD28E1">
            <w:pPr>
              <w:widowControl w:val="0"/>
              <w:adjustRightInd w:val="0"/>
              <w:snapToGrid w:val="0"/>
              <w:spacing w:line="320" w:lineRule="exact"/>
              <w:jc w:val="center"/>
              <w:outlineLvl w:val="1"/>
              <w:rPr>
                <w:rFonts w:asciiTheme="minorEastAsia" w:hAnsiTheme="minorEastAsia" w:eastAsiaTheme="minorEastAsia"/>
                <w:snapToGrid w:val="0"/>
                <w:color w:val="000000"/>
                <w:sz w:val="18"/>
                <w:szCs w:val="18"/>
              </w:rPr>
            </w:pPr>
            <w:r>
              <w:rPr>
                <w:rFonts w:hint="eastAsia" w:asciiTheme="minorEastAsia" w:hAnsiTheme="minorEastAsia" w:eastAsiaTheme="minorEastAsia"/>
                <w:snapToGrid w:val="0"/>
                <w:color w:val="000000"/>
                <w:sz w:val="18"/>
                <w:szCs w:val="18"/>
              </w:rPr>
              <w:t>1-7</w:t>
            </w:r>
          </w:p>
        </w:tc>
        <w:tc>
          <w:tcPr>
            <w:tcW w:w="970" w:type="dxa"/>
            <w:tcBorders>
              <w:top w:val="single" w:color="000000" w:sz="4" w:space="0"/>
              <w:left w:val="nil"/>
              <w:bottom w:val="single" w:color="000000" w:sz="4" w:space="0"/>
              <w:right w:val="single" w:color="000000" w:sz="4" w:space="0"/>
            </w:tcBorders>
            <w:vAlign w:val="center"/>
          </w:tcPr>
          <w:p w14:paraId="23163AB3">
            <w:pPr>
              <w:widowControl w:val="0"/>
              <w:adjustRightInd w:val="0"/>
              <w:snapToGrid w:val="0"/>
              <w:spacing w:line="320" w:lineRule="exact"/>
              <w:jc w:val="center"/>
              <w:outlineLvl w:val="1"/>
              <w:rPr>
                <w:rFonts w:eastAsia="方正黑体_GBK"/>
                <w:snapToGrid w:val="0"/>
                <w:color w:val="000000"/>
                <w:sz w:val="18"/>
                <w:szCs w:val="18"/>
              </w:rPr>
            </w:pPr>
          </w:p>
        </w:tc>
      </w:tr>
      <w:tr w14:paraId="3DDEA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121299A0">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color="000000" w:sz="4" w:space="0"/>
              <w:left w:val="nil"/>
              <w:bottom w:val="single" w:color="000000" w:sz="4" w:space="0"/>
              <w:right w:val="single" w:color="000000" w:sz="4" w:space="0"/>
            </w:tcBorders>
          </w:tcPr>
          <w:p w14:paraId="6E9C3F00">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color="000000" w:sz="4" w:space="0"/>
              <w:left w:val="nil"/>
              <w:bottom w:val="single" w:color="000000" w:sz="4" w:space="0"/>
              <w:right w:val="single" w:color="000000" w:sz="4" w:space="0"/>
            </w:tcBorders>
            <w:vAlign w:val="center"/>
          </w:tcPr>
          <w:p w14:paraId="7B29E5D2">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color="000000" w:sz="4" w:space="0"/>
              <w:left w:val="nil"/>
              <w:bottom w:val="single" w:color="000000" w:sz="4" w:space="0"/>
              <w:right w:val="single" w:color="000000" w:sz="4" w:space="0"/>
            </w:tcBorders>
            <w:vAlign w:val="center"/>
          </w:tcPr>
          <w:p w14:paraId="1162AF30">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color="000000" w:sz="4" w:space="0"/>
              <w:left w:val="nil"/>
              <w:bottom w:val="single" w:color="000000" w:sz="4" w:space="0"/>
              <w:right w:val="single" w:color="000000" w:sz="4" w:space="0"/>
            </w:tcBorders>
            <w:vAlign w:val="center"/>
          </w:tcPr>
          <w:p w14:paraId="11E78EB2">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color="000000" w:sz="4" w:space="0"/>
              <w:left w:val="nil"/>
              <w:bottom w:val="single" w:color="000000" w:sz="4" w:space="0"/>
              <w:right w:val="single" w:color="000000" w:sz="4" w:space="0"/>
            </w:tcBorders>
            <w:vAlign w:val="center"/>
          </w:tcPr>
          <w:p w14:paraId="7B59F65C">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color="000000" w:sz="4" w:space="0"/>
              <w:left w:val="nil"/>
              <w:bottom w:val="single" w:color="000000" w:sz="4" w:space="0"/>
              <w:right w:val="single" w:color="000000" w:sz="4" w:space="0"/>
            </w:tcBorders>
            <w:vAlign w:val="center"/>
          </w:tcPr>
          <w:p w14:paraId="454D345D">
            <w:pPr>
              <w:widowControl w:val="0"/>
              <w:adjustRightInd w:val="0"/>
              <w:snapToGrid w:val="0"/>
              <w:spacing w:line="320" w:lineRule="exact"/>
              <w:jc w:val="center"/>
              <w:outlineLvl w:val="1"/>
              <w:rPr>
                <w:rFonts w:eastAsia="方正黑体_GBK"/>
                <w:snapToGrid w:val="0"/>
                <w:color w:val="000000"/>
                <w:sz w:val="18"/>
                <w:szCs w:val="18"/>
              </w:rPr>
            </w:pPr>
          </w:p>
        </w:tc>
      </w:tr>
      <w:tr w14:paraId="1D6E8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39B404E8">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color="000000" w:sz="4" w:space="0"/>
              <w:left w:val="nil"/>
              <w:bottom w:val="single" w:color="000000" w:sz="4" w:space="0"/>
              <w:right w:val="single" w:color="000000" w:sz="4" w:space="0"/>
            </w:tcBorders>
            <w:vAlign w:val="center"/>
          </w:tcPr>
          <w:p w14:paraId="4A2D162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color="000000" w:sz="4" w:space="0"/>
              <w:left w:val="nil"/>
              <w:bottom w:val="single" w:color="000000" w:sz="4" w:space="0"/>
              <w:right w:val="single" w:color="000000" w:sz="4" w:space="0"/>
            </w:tcBorders>
            <w:vAlign w:val="center"/>
          </w:tcPr>
          <w:p w14:paraId="3EB839F3">
            <w:pPr>
              <w:widowControl w:val="0"/>
              <w:adjustRightInd w:val="0"/>
              <w:snapToGrid w:val="0"/>
              <w:spacing w:line="320" w:lineRule="exact"/>
              <w:jc w:val="center"/>
              <w:outlineLvl w:val="1"/>
              <w:rPr>
                <w:rFonts w:ascii="仿宋" w:hAnsi="仿宋" w:eastAsia="仿宋"/>
                <w:color w:val="000000" w:themeColor="text1"/>
                <w:kern w:val="0"/>
                <w:sz w:val="18"/>
                <w:szCs w:val="18"/>
                <w14:textFill>
                  <w14:solidFill>
                    <w14:schemeClr w14:val="tx1"/>
                  </w14:solidFill>
                </w14:textFill>
              </w:rPr>
            </w:pPr>
          </w:p>
        </w:tc>
        <w:tc>
          <w:tcPr>
            <w:tcW w:w="1275" w:type="dxa"/>
            <w:tcBorders>
              <w:top w:val="single" w:color="000000" w:sz="4" w:space="0"/>
              <w:left w:val="nil"/>
              <w:bottom w:val="single" w:color="000000" w:sz="4" w:space="0"/>
              <w:right w:val="single" w:color="000000" w:sz="4" w:space="0"/>
            </w:tcBorders>
            <w:vAlign w:val="center"/>
          </w:tcPr>
          <w:p w14:paraId="3C94004F">
            <w:pPr>
              <w:widowControl w:val="0"/>
              <w:adjustRightInd w:val="0"/>
              <w:snapToGrid w:val="0"/>
              <w:spacing w:line="320" w:lineRule="exact"/>
              <w:jc w:val="center"/>
              <w:outlineLvl w:val="1"/>
              <w:rPr>
                <w:rFonts w:eastAsia="Segoe UI"/>
                <w:color w:val="0F1115"/>
                <w:sz w:val="18"/>
                <w:szCs w:val="18"/>
                <w:shd w:val="clear" w:color="auto" w:fill="FFFFFF"/>
              </w:rPr>
            </w:pPr>
          </w:p>
        </w:tc>
        <w:tc>
          <w:tcPr>
            <w:tcW w:w="5387" w:type="dxa"/>
            <w:tcBorders>
              <w:top w:val="single" w:color="000000" w:sz="4" w:space="0"/>
              <w:left w:val="nil"/>
              <w:bottom w:val="single" w:color="000000" w:sz="4" w:space="0"/>
              <w:right w:val="single" w:color="000000" w:sz="4" w:space="0"/>
            </w:tcBorders>
            <w:vAlign w:val="center"/>
          </w:tcPr>
          <w:p w14:paraId="14DCB928">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color="000000" w:sz="4" w:space="0"/>
              <w:left w:val="nil"/>
              <w:bottom w:val="single" w:color="000000" w:sz="4" w:space="0"/>
              <w:right w:val="single" w:color="000000" w:sz="4" w:space="0"/>
            </w:tcBorders>
            <w:vAlign w:val="center"/>
          </w:tcPr>
          <w:p w14:paraId="72B800EE">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color="000000" w:sz="4" w:space="0"/>
              <w:left w:val="nil"/>
              <w:bottom w:val="single" w:color="000000" w:sz="4" w:space="0"/>
              <w:right w:val="single" w:color="000000" w:sz="4" w:space="0"/>
            </w:tcBorders>
            <w:vAlign w:val="center"/>
          </w:tcPr>
          <w:p w14:paraId="18089CA8">
            <w:pPr>
              <w:widowControl w:val="0"/>
              <w:adjustRightInd w:val="0"/>
              <w:snapToGrid w:val="0"/>
              <w:spacing w:line="320" w:lineRule="exact"/>
              <w:jc w:val="center"/>
              <w:outlineLvl w:val="1"/>
              <w:rPr>
                <w:rFonts w:eastAsia="方正黑体_GBK"/>
                <w:snapToGrid w:val="0"/>
                <w:color w:val="000000"/>
                <w:sz w:val="18"/>
                <w:szCs w:val="18"/>
              </w:rPr>
            </w:pPr>
          </w:p>
        </w:tc>
      </w:tr>
    </w:tbl>
    <w:p w14:paraId="20CEFAC9">
      <w:pPr>
        <w:rPr>
          <w:rFonts w:eastAsia="宋体"/>
        </w:rPr>
      </w:pPr>
    </w:p>
    <w:p w14:paraId="3F77AE16">
      <w:pPr>
        <w:spacing w:line="240" w:lineRule="auto"/>
      </w:pPr>
    </w:p>
    <w:sectPr>
      <w:pgSz w:w="16838" w:h="11906" w:orient="landscape"/>
      <w:pgMar w:top="567" w:right="1440" w:bottom="426"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02A08B-3FCD-4DEE-BE7A-71AA4EDAE1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9D98F004-C767-47C2-A384-695CC5CC9031}"/>
  </w:font>
  <w:font w:name="方正小标宋简体">
    <w:panose1 w:val="02000000000000000000"/>
    <w:charset w:val="86"/>
    <w:family w:val="auto"/>
    <w:pitch w:val="default"/>
    <w:sig w:usb0="00000001" w:usb1="08000000" w:usb2="00000000" w:usb3="00000000" w:csb0="00040000" w:csb1="00000000"/>
    <w:embedRegular r:id="rId3" w:fontKey="{F1FB65BA-E82C-4B1D-9AF3-5281EC6FF0EA}"/>
  </w:font>
  <w:font w:name="方正黑体_GBK">
    <w:altName w:val="微软雅黑"/>
    <w:panose1 w:val="00000000000000000000"/>
    <w:charset w:val="86"/>
    <w:family w:val="script"/>
    <w:pitch w:val="default"/>
    <w:sig w:usb0="00000000" w:usb1="00000000" w:usb2="00000000" w:usb3="00000000" w:csb0="00040000" w:csb1="00000000"/>
    <w:embedRegular r:id="rId4" w:fontKey="{9F4325A6-247D-4DF8-813C-AD9AA968DE88}"/>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00000" w:usb3="00000000" w:csb0="00040000" w:csb1="00000000"/>
    <w:embedRegular r:id="rId5" w:fontKey="{F7C2CF3A-11BC-4834-96E1-E0DF8518BAF0}"/>
  </w:font>
  <w:font w:name="Segoe UI">
    <w:panose1 w:val="020B0502040204020203"/>
    <w:charset w:val="00"/>
    <w:family w:val="swiss"/>
    <w:pitch w:val="default"/>
    <w:sig w:usb0="E4002EFF" w:usb1="C000E47F" w:usb2="00000009" w:usb3="00000000" w:csb0="200001FF" w:csb1="00000000"/>
    <w:embedRegular r:id="rId6" w:fontKey="{E0F4D9DB-4B7D-42C9-AF70-55DAD345A64A}"/>
  </w:font>
  <w:font w:name="华文楷体">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wN2VmMzdmZDgwNmM3M2IwYzlmN2M1OTAzY2Y0MjQifQ=="/>
  </w:docVars>
  <w:rsids>
    <w:rsidRoot w:val="00172A27"/>
    <w:rsid w:val="00007C5F"/>
    <w:rsid w:val="0001213B"/>
    <w:rsid w:val="00014F20"/>
    <w:rsid w:val="00015DCE"/>
    <w:rsid w:val="00020737"/>
    <w:rsid w:val="00071F43"/>
    <w:rsid w:val="00076197"/>
    <w:rsid w:val="000B1EB8"/>
    <w:rsid w:val="000B2D28"/>
    <w:rsid w:val="000C4A05"/>
    <w:rsid w:val="000E5D61"/>
    <w:rsid w:val="000F1E71"/>
    <w:rsid w:val="00101DBC"/>
    <w:rsid w:val="001109B0"/>
    <w:rsid w:val="00110F63"/>
    <w:rsid w:val="00114A60"/>
    <w:rsid w:val="00124F9A"/>
    <w:rsid w:val="00127E24"/>
    <w:rsid w:val="00156902"/>
    <w:rsid w:val="0016671D"/>
    <w:rsid w:val="0017193A"/>
    <w:rsid w:val="00172A27"/>
    <w:rsid w:val="001838F4"/>
    <w:rsid w:val="001878CE"/>
    <w:rsid w:val="0019108D"/>
    <w:rsid w:val="001920E4"/>
    <w:rsid w:val="001A56C9"/>
    <w:rsid w:val="001A67D7"/>
    <w:rsid w:val="001A7DCC"/>
    <w:rsid w:val="001C340D"/>
    <w:rsid w:val="001C4250"/>
    <w:rsid w:val="001C78E7"/>
    <w:rsid w:val="001D441B"/>
    <w:rsid w:val="001D57EA"/>
    <w:rsid w:val="001D7171"/>
    <w:rsid w:val="001E3914"/>
    <w:rsid w:val="00211BD1"/>
    <w:rsid w:val="0021555F"/>
    <w:rsid w:val="00233263"/>
    <w:rsid w:val="00237655"/>
    <w:rsid w:val="00237CD1"/>
    <w:rsid w:val="00243433"/>
    <w:rsid w:val="00246694"/>
    <w:rsid w:val="002645F4"/>
    <w:rsid w:val="00267C42"/>
    <w:rsid w:val="002705A4"/>
    <w:rsid w:val="00275C62"/>
    <w:rsid w:val="002812F9"/>
    <w:rsid w:val="00283677"/>
    <w:rsid w:val="002B0E0A"/>
    <w:rsid w:val="002B6196"/>
    <w:rsid w:val="002B6A01"/>
    <w:rsid w:val="002D21F2"/>
    <w:rsid w:val="002D7549"/>
    <w:rsid w:val="002E3EA8"/>
    <w:rsid w:val="002F06A4"/>
    <w:rsid w:val="0030091B"/>
    <w:rsid w:val="00322B5B"/>
    <w:rsid w:val="003318E9"/>
    <w:rsid w:val="0033411A"/>
    <w:rsid w:val="00346597"/>
    <w:rsid w:val="0035043F"/>
    <w:rsid w:val="00355E4A"/>
    <w:rsid w:val="00361BCE"/>
    <w:rsid w:val="00364B84"/>
    <w:rsid w:val="003A097F"/>
    <w:rsid w:val="003A2A5A"/>
    <w:rsid w:val="003A34AF"/>
    <w:rsid w:val="003C1317"/>
    <w:rsid w:val="003C3395"/>
    <w:rsid w:val="003E0C8F"/>
    <w:rsid w:val="00402206"/>
    <w:rsid w:val="00402C43"/>
    <w:rsid w:val="00407335"/>
    <w:rsid w:val="00407AC9"/>
    <w:rsid w:val="0042244C"/>
    <w:rsid w:val="00424C5D"/>
    <w:rsid w:val="00427DAE"/>
    <w:rsid w:val="00444597"/>
    <w:rsid w:val="004508A1"/>
    <w:rsid w:val="00454E1A"/>
    <w:rsid w:val="00476D19"/>
    <w:rsid w:val="004B0AB0"/>
    <w:rsid w:val="004C5A9F"/>
    <w:rsid w:val="004C5BBF"/>
    <w:rsid w:val="004D12C0"/>
    <w:rsid w:val="004F39FE"/>
    <w:rsid w:val="005016CF"/>
    <w:rsid w:val="00502471"/>
    <w:rsid w:val="00502C6E"/>
    <w:rsid w:val="00533698"/>
    <w:rsid w:val="0053766C"/>
    <w:rsid w:val="00573490"/>
    <w:rsid w:val="00583E86"/>
    <w:rsid w:val="0059081E"/>
    <w:rsid w:val="00597277"/>
    <w:rsid w:val="005B2497"/>
    <w:rsid w:val="005C6C22"/>
    <w:rsid w:val="005C79C2"/>
    <w:rsid w:val="005D1525"/>
    <w:rsid w:val="00601EB4"/>
    <w:rsid w:val="00614BA4"/>
    <w:rsid w:val="006254E1"/>
    <w:rsid w:val="00661854"/>
    <w:rsid w:val="006659F7"/>
    <w:rsid w:val="006717CC"/>
    <w:rsid w:val="0069428B"/>
    <w:rsid w:val="006979A2"/>
    <w:rsid w:val="006C4900"/>
    <w:rsid w:val="006C5770"/>
    <w:rsid w:val="006D05EB"/>
    <w:rsid w:val="006E1FD2"/>
    <w:rsid w:val="006E46E1"/>
    <w:rsid w:val="006E74C8"/>
    <w:rsid w:val="006F4020"/>
    <w:rsid w:val="00711E98"/>
    <w:rsid w:val="007155F7"/>
    <w:rsid w:val="0071581A"/>
    <w:rsid w:val="00747D72"/>
    <w:rsid w:val="007601F9"/>
    <w:rsid w:val="00761329"/>
    <w:rsid w:val="00761A6B"/>
    <w:rsid w:val="00764366"/>
    <w:rsid w:val="007657AE"/>
    <w:rsid w:val="007670FA"/>
    <w:rsid w:val="0077233A"/>
    <w:rsid w:val="007727F5"/>
    <w:rsid w:val="00783607"/>
    <w:rsid w:val="00785D5C"/>
    <w:rsid w:val="007921A1"/>
    <w:rsid w:val="00792DBE"/>
    <w:rsid w:val="007A0CDE"/>
    <w:rsid w:val="007B0F44"/>
    <w:rsid w:val="007C400C"/>
    <w:rsid w:val="007C559A"/>
    <w:rsid w:val="007D1B0A"/>
    <w:rsid w:val="007D1BAC"/>
    <w:rsid w:val="007D5BFF"/>
    <w:rsid w:val="007F27C1"/>
    <w:rsid w:val="007F6CC5"/>
    <w:rsid w:val="008000C8"/>
    <w:rsid w:val="00803EDB"/>
    <w:rsid w:val="00824A1F"/>
    <w:rsid w:val="00827DCE"/>
    <w:rsid w:val="00834046"/>
    <w:rsid w:val="00843378"/>
    <w:rsid w:val="00844EA8"/>
    <w:rsid w:val="00890145"/>
    <w:rsid w:val="008950A4"/>
    <w:rsid w:val="008B23B6"/>
    <w:rsid w:val="008C1360"/>
    <w:rsid w:val="008E748D"/>
    <w:rsid w:val="00915C21"/>
    <w:rsid w:val="0093530F"/>
    <w:rsid w:val="00941C9C"/>
    <w:rsid w:val="009732DC"/>
    <w:rsid w:val="0097735F"/>
    <w:rsid w:val="00981ABC"/>
    <w:rsid w:val="00986297"/>
    <w:rsid w:val="009A27FE"/>
    <w:rsid w:val="009A5C62"/>
    <w:rsid w:val="009B7E91"/>
    <w:rsid w:val="009D765C"/>
    <w:rsid w:val="009E1CFB"/>
    <w:rsid w:val="009F28C7"/>
    <w:rsid w:val="00A02F8D"/>
    <w:rsid w:val="00A05E00"/>
    <w:rsid w:val="00A11EDE"/>
    <w:rsid w:val="00A15A22"/>
    <w:rsid w:val="00A15EB0"/>
    <w:rsid w:val="00A16801"/>
    <w:rsid w:val="00A256DE"/>
    <w:rsid w:val="00A263E8"/>
    <w:rsid w:val="00A37CB3"/>
    <w:rsid w:val="00A46C1B"/>
    <w:rsid w:val="00A516E9"/>
    <w:rsid w:val="00A52A6C"/>
    <w:rsid w:val="00A64A63"/>
    <w:rsid w:val="00A75335"/>
    <w:rsid w:val="00A83F2C"/>
    <w:rsid w:val="00A87E5A"/>
    <w:rsid w:val="00A955C8"/>
    <w:rsid w:val="00AA5AC3"/>
    <w:rsid w:val="00AB06CB"/>
    <w:rsid w:val="00AC0519"/>
    <w:rsid w:val="00AC389A"/>
    <w:rsid w:val="00AD31F3"/>
    <w:rsid w:val="00AD4881"/>
    <w:rsid w:val="00AE053A"/>
    <w:rsid w:val="00B12363"/>
    <w:rsid w:val="00B332AC"/>
    <w:rsid w:val="00B40BC7"/>
    <w:rsid w:val="00B41AD3"/>
    <w:rsid w:val="00B50C1C"/>
    <w:rsid w:val="00B62464"/>
    <w:rsid w:val="00B72BED"/>
    <w:rsid w:val="00B7530E"/>
    <w:rsid w:val="00B76F26"/>
    <w:rsid w:val="00B80098"/>
    <w:rsid w:val="00B80877"/>
    <w:rsid w:val="00B81615"/>
    <w:rsid w:val="00B848A1"/>
    <w:rsid w:val="00B8515A"/>
    <w:rsid w:val="00B91169"/>
    <w:rsid w:val="00BA0C4B"/>
    <w:rsid w:val="00BA795D"/>
    <w:rsid w:val="00BB3414"/>
    <w:rsid w:val="00BB60C4"/>
    <w:rsid w:val="00BC1E44"/>
    <w:rsid w:val="00BC7CFF"/>
    <w:rsid w:val="00BE3A69"/>
    <w:rsid w:val="00C1309E"/>
    <w:rsid w:val="00C1484A"/>
    <w:rsid w:val="00C1640E"/>
    <w:rsid w:val="00C27051"/>
    <w:rsid w:val="00C2791D"/>
    <w:rsid w:val="00C345DB"/>
    <w:rsid w:val="00C35B98"/>
    <w:rsid w:val="00C36EBA"/>
    <w:rsid w:val="00C429A4"/>
    <w:rsid w:val="00C44B2C"/>
    <w:rsid w:val="00C52412"/>
    <w:rsid w:val="00C649D1"/>
    <w:rsid w:val="00C716E9"/>
    <w:rsid w:val="00C71AF7"/>
    <w:rsid w:val="00C728E8"/>
    <w:rsid w:val="00C8035D"/>
    <w:rsid w:val="00C80EEA"/>
    <w:rsid w:val="00C82682"/>
    <w:rsid w:val="00C97BAA"/>
    <w:rsid w:val="00CB0003"/>
    <w:rsid w:val="00CB588F"/>
    <w:rsid w:val="00CC0E08"/>
    <w:rsid w:val="00CD3352"/>
    <w:rsid w:val="00CE48C7"/>
    <w:rsid w:val="00CE4E72"/>
    <w:rsid w:val="00CF7917"/>
    <w:rsid w:val="00D25EF4"/>
    <w:rsid w:val="00D351AD"/>
    <w:rsid w:val="00D353F3"/>
    <w:rsid w:val="00D40F00"/>
    <w:rsid w:val="00D45286"/>
    <w:rsid w:val="00D52285"/>
    <w:rsid w:val="00D66E56"/>
    <w:rsid w:val="00D673C1"/>
    <w:rsid w:val="00D75B1A"/>
    <w:rsid w:val="00D83983"/>
    <w:rsid w:val="00D97291"/>
    <w:rsid w:val="00DB08D3"/>
    <w:rsid w:val="00DB29E2"/>
    <w:rsid w:val="00DB5277"/>
    <w:rsid w:val="00DC354F"/>
    <w:rsid w:val="00DC3554"/>
    <w:rsid w:val="00DC7465"/>
    <w:rsid w:val="00DD06DA"/>
    <w:rsid w:val="00DD334D"/>
    <w:rsid w:val="00E16D5B"/>
    <w:rsid w:val="00E20DD7"/>
    <w:rsid w:val="00E2151A"/>
    <w:rsid w:val="00E31752"/>
    <w:rsid w:val="00E3187A"/>
    <w:rsid w:val="00E32D17"/>
    <w:rsid w:val="00E36245"/>
    <w:rsid w:val="00E40433"/>
    <w:rsid w:val="00E43F34"/>
    <w:rsid w:val="00E45020"/>
    <w:rsid w:val="00E60D5F"/>
    <w:rsid w:val="00E756B2"/>
    <w:rsid w:val="00EA021B"/>
    <w:rsid w:val="00EC22C4"/>
    <w:rsid w:val="00ED7354"/>
    <w:rsid w:val="00EE27AB"/>
    <w:rsid w:val="00EE6B3E"/>
    <w:rsid w:val="00EF56F9"/>
    <w:rsid w:val="00F14CBE"/>
    <w:rsid w:val="00F34A57"/>
    <w:rsid w:val="00F40FAC"/>
    <w:rsid w:val="00F54A66"/>
    <w:rsid w:val="00F6074B"/>
    <w:rsid w:val="00F66692"/>
    <w:rsid w:val="00F77A4D"/>
    <w:rsid w:val="00F77DEA"/>
    <w:rsid w:val="00F813C7"/>
    <w:rsid w:val="00F8246C"/>
    <w:rsid w:val="00F92711"/>
    <w:rsid w:val="00FA1133"/>
    <w:rsid w:val="00FA628E"/>
    <w:rsid w:val="00FB3A3C"/>
    <w:rsid w:val="00FE2EDD"/>
    <w:rsid w:val="00FF1507"/>
    <w:rsid w:val="01A54E7C"/>
    <w:rsid w:val="02CD758C"/>
    <w:rsid w:val="10261530"/>
    <w:rsid w:val="1A116BFB"/>
    <w:rsid w:val="1E8B7543"/>
    <w:rsid w:val="215025B4"/>
    <w:rsid w:val="36973EBC"/>
    <w:rsid w:val="37422732"/>
    <w:rsid w:val="3CFC0F3C"/>
    <w:rsid w:val="4A2D3F4C"/>
    <w:rsid w:val="4B2C3957"/>
    <w:rsid w:val="501D2775"/>
    <w:rsid w:val="52D41ACF"/>
    <w:rsid w:val="53AE6F42"/>
    <w:rsid w:val="59F32486"/>
    <w:rsid w:val="5BFC6DBF"/>
    <w:rsid w:val="5D400DD6"/>
    <w:rsid w:val="5EBC0BC3"/>
    <w:rsid w:val="5F405755"/>
    <w:rsid w:val="602D06DA"/>
    <w:rsid w:val="611C1DA8"/>
    <w:rsid w:val="65374306"/>
    <w:rsid w:val="67C50E43"/>
    <w:rsid w:val="6AFF0928"/>
    <w:rsid w:val="6C9D6941"/>
    <w:rsid w:val="74567C89"/>
    <w:rsid w:val="74782AA1"/>
    <w:rsid w:val="75CC1256"/>
    <w:rsid w:val="7628529F"/>
    <w:rsid w:val="76B272E7"/>
    <w:rsid w:val="779260BA"/>
    <w:rsid w:val="7FFF2609"/>
    <w:rsid w:val="EBFB0DA2"/>
    <w:rsid w:val="EDD7B0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560" w:lineRule="exact"/>
    </w:pPr>
    <w:rPr>
      <w:rFonts w:ascii="Times New Roman" w:hAnsi="Times New Roman" w:eastAsia="仿宋_GB2312" w:cs="Times New Roman"/>
      <w:kern w:val="2"/>
      <w:sz w:val="32"/>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1"/>
    <w:semiHidden/>
    <w:unhideWhenUsed/>
    <w:qFormat/>
    <w:uiPriority w:val="0"/>
  </w:style>
  <w:style w:type="paragraph" w:styleId="3">
    <w:name w:val="Plain Text"/>
    <w:basedOn w:val="1"/>
    <w:link w:val="15"/>
    <w:unhideWhenUsed/>
    <w:qFormat/>
    <w:uiPriority w:val="0"/>
    <w:pPr>
      <w:widowControl w:val="0"/>
      <w:spacing w:line="360" w:lineRule="auto"/>
      <w:ind w:firstLine="480" w:firstLineChars="200"/>
      <w:jc w:val="both"/>
    </w:pPr>
    <w:rPr>
      <w:rFonts w:hint="eastAsia" w:ascii="仿宋_GB2312" w:eastAsia="宋体"/>
      <w:sz w:val="24"/>
      <w:szCs w:val="20"/>
    </w:rPr>
  </w:style>
  <w:style w:type="paragraph" w:styleId="4">
    <w:name w:val="Balloon Text"/>
    <w:basedOn w:val="1"/>
    <w:link w:val="23"/>
    <w:semiHidden/>
    <w:unhideWhenUsed/>
    <w:uiPriority w:val="0"/>
    <w:pPr>
      <w:spacing w:after="0" w:line="240" w:lineRule="auto"/>
    </w:pPr>
    <w:rPr>
      <w:rFonts w:ascii="宋体" w:eastAsia="宋体"/>
      <w:sz w:val="18"/>
      <w:szCs w:val="18"/>
    </w:rPr>
  </w:style>
  <w:style w:type="paragraph" w:styleId="5">
    <w:name w:val="footer"/>
    <w:basedOn w:val="1"/>
    <w:link w:val="17"/>
    <w:unhideWhenUsed/>
    <w:qFormat/>
    <w:uiPriority w:val="99"/>
    <w:pPr>
      <w:tabs>
        <w:tab w:val="center" w:pos="4153"/>
        <w:tab w:val="right" w:pos="8306"/>
      </w:tabs>
      <w:snapToGrid w:val="0"/>
      <w:spacing w:line="240" w:lineRule="atLeas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unhideWhenUsed/>
    <w:qFormat/>
    <w:uiPriority w:val="99"/>
    <w:rPr>
      <w:sz w:val="24"/>
    </w:rPr>
  </w:style>
  <w:style w:type="paragraph" w:styleId="8">
    <w:name w:val="annotation subject"/>
    <w:basedOn w:val="2"/>
    <w:next w:val="2"/>
    <w:link w:val="22"/>
    <w:semiHidden/>
    <w:unhideWhenUsed/>
    <w:uiPriority w:val="0"/>
    <w:pPr>
      <w:spacing w:line="240" w:lineRule="auto"/>
    </w:pPr>
    <w:rPr>
      <w:b/>
      <w:bCs/>
      <w:sz w:val="20"/>
      <w:szCs w:val="20"/>
    </w:rPr>
  </w:style>
  <w:style w:type="table" w:styleId="10">
    <w:name w:val="Table Grid"/>
    <w:basedOn w:val="9"/>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annotation reference"/>
    <w:basedOn w:val="11"/>
    <w:semiHidden/>
    <w:unhideWhenUsed/>
    <w:qFormat/>
    <w:uiPriority w:val="0"/>
    <w:rPr>
      <w:sz w:val="21"/>
      <w:szCs w:val="21"/>
    </w:rPr>
  </w:style>
  <w:style w:type="paragraph" w:customStyle="1" w:styleId="14">
    <w:name w:val="Default"/>
    <w:unhideWhenUsed/>
    <w:qFormat/>
    <w:uiPriority w:val="99"/>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character" w:customStyle="1" w:styleId="15">
    <w:name w:val="纯文本 Char"/>
    <w:link w:val="3"/>
    <w:qFormat/>
    <w:uiPriority w:val="0"/>
    <w:rPr>
      <w:rFonts w:ascii="仿宋_GB2312" w:hAnsi="Times New Roman" w:eastAsia="宋体" w:cs="Times New Roman"/>
      <w:sz w:val="24"/>
      <w:szCs w:val="20"/>
    </w:rPr>
  </w:style>
  <w:style w:type="character" w:customStyle="1" w:styleId="16">
    <w:name w:val="页眉 Char"/>
    <w:link w:val="6"/>
    <w:qFormat/>
    <w:uiPriority w:val="99"/>
    <w:rPr>
      <w:rFonts w:ascii="Times New Roman" w:hAnsi="Times New Roman" w:eastAsia="仿宋_GB2312" w:cs="Times New Roman"/>
      <w:sz w:val="18"/>
      <w:szCs w:val="18"/>
    </w:rPr>
  </w:style>
  <w:style w:type="character" w:customStyle="1" w:styleId="17">
    <w:name w:val="页脚 Char"/>
    <w:link w:val="5"/>
    <w:qFormat/>
    <w:uiPriority w:val="99"/>
    <w:rPr>
      <w:rFonts w:ascii="Times New Roman" w:hAnsi="Times New Roman" w:eastAsia="仿宋_GB2312" w:cs="Times New Roman"/>
      <w:sz w:val="18"/>
      <w:szCs w:val="18"/>
    </w:rPr>
  </w:style>
  <w:style w:type="character" w:customStyle="1" w:styleId="18">
    <w:name w:val="17"/>
    <w:basedOn w:val="11"/>
    <w:qFormat/>
    <w:uiPriority w:val="0"/>
    <w:rPr>
      <w:rFonts w:hint="eastAsia" w:ascii="仿宋_GB2312" w:eastAsia="仿宋_GB2312"/>
      <w:b/>
      <w:bCs/>
      <w:kern w:val="44"/>
      <w:sz w:val="44"/>
      <w:szCs w:val="44"/>
    </w:rPr>
  </w:style>
  <w:style w:type="paragraph" w:styleId="19">
    <w:name w:val="List Paragraph"/>
    <w:basedOn w:val="1"/>
    <w:unhideWhenUsed/>
    <w:qFormat/>
    <w:uiPriority w:val="99"/>
    <w:pPr>
      <w:ind w:firstLine="420" w:firstLineChars="200"/>
    </w:pPr>
  </w:style>
  <w:style w:type="table" w:customStyle="1" w:styleId="20">
    <w:name w:val="网格型1"/>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
    <w:name w:val="批注文字 Char"/>
    <w:basedOn w:val="11"/>
    <w:link w:val="2"/>
    <w:semiHidden/>
    <w:uiPriority w:val="0"/>
    <w:rPr>
      <w:rFonts w:eastAsia="仿宋_GB2312"/>
      <w:kern w:val="2"/>
      <w:sz w:val="32"/>
      <w:szCs w:val="22"/>
    </w:rPr>
  </w:style>
  <w:style w:type="character" w:customStyle="1" w:styleId="22">
    <w:name w:val="批注主题 Char"/>
    <w:basedOn w:val="21"/>
    <w:link w:val="8"/>
    <w:semiHidden/>
    <w:uiPriority w:val="0"/>
    <w:rPr>
      <w:rFonts w:eastAsia="仿宋_GB2312"/>
      <w:b/>
      <w:bCs/>
      <w:kern w:val="2"/>
      <w:sz w:val="32"/>
      <w:szCs w:val="22"/>
    </w:rPr>
  </w:style>
  <w:style w:type="character" w:customStyle="1" w:styleId="23">
    <w:name w:val="批注框文本 Char"/>
    <w:basedOn w:val="11"/>
    <w:link w:val="4"/>
    <w:semiHidden/>
    <w:uiPriority w:val="0"/>
    <w:rPr>
      <w:rFonts w:ascii="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1837</Words>
  <Characters>2073</Characters>
  <Lines>42</Lines>
  <Paragraphs>11</Paragraphs>
  <TotalTime>23</TotalTime>
  <ScaleCrop>false</ScaleCrop>
  <LinksUpToDate>false</LinksUpToDate>
  <CharactersWithSpaces>2087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2023-08-10T17:06:00Z</dcterms:created>
  <dc:creator>whx</dc:creator>
  <cp:lastModifiedBy>刘san</cp:lastModifiedBy>
  <dcterms:modified xsi:type="dcterms:W3CDTF">2026-09-28T01:26:13Z</dcterms:modified>
  <dc:title>2021年度广西技术发明奖（科技进步奖）提名公示信息</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420F3243221F45D4BE8B0E6060C8452A</vt:lpwstr>
  </property>
  <property fmtid="{D5CDD505-2E9C-101B-9397-08002B2CF9AE}" pid="4" name="KSOTemplateDocerSaveRecord">
    <vt:lpwstr>eyJoZGlkIjoiMDExYmU4ZWUzOTk5ZjMzY2Y2ZTUyMDc0M2Y0MGQzMWEiLCJ1c2VySWQiOiIxMDYwNTIyNDU1In0=</vt:lpwstr>
  </property>
</Properties>
</file>