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FFEFF8">
      <w:pPr>
        <w:snapToGrid w:val="0"/>
        <w:spacing w:line="60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信息与通信学院创新人才培养模式改革</w:t>
      </w:r>
    </w:p>
    <w:p w14:paraId="3BA60444">
      <w:pPr>
        <w:snapToGrid w:val="0"/>
        <w:spacing w:line="600" w:lineRule="exact"/>
        <w:jc w:val="center"/>
        <w:rPr>
          <w:rFonts w:hint="eastAsia" w:ascii="方正小标宋简体" w:hAnsi="方正小标宋简体" w:eastAsia="方正小标宋简体"/>
          <w:sz w:val="44"/>
          <w:szCs w:val="44"/>
        </w:rPr>
      </w:pPr>
      <w:r>
        <w:rPr>
          <w:rFonts w:hint="eastAsia" w:ascii="方正小标宋简体" w:hAnsi="方正小标宋简体" w:eastAsia="方正小标宋简体"/>
          <w:sz w:val="44"/>
          <w:szCs w:val="44"/>
        </w:rPr>
        <w:t>试点实施方案</w:t>
      </w:r>
    </w:p>
    <w:p w14:paraId="6AFE7240">
      <w:pPr>
        <w:snapToGrid w:val="0"/>
        <w:spacing w:line="600" w:lineRule="exact"/>
        <w:jc w:val="center"/>
        <w:rPr>
          <w:rFonts w:ascii="黑体" w:hAnsi="黑体" w:eastAsia="黑体"/>
          <w:sz w:val="32"/>
          <w:szCs w:val="32"/>
        </w:rPr>
      </w:pPr>
    </w:p>
    <w:p w14:paraId="3E720161">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为推动学院人才培养与</w:t>
      </w:r>
      <w:r>
        <w:rPr>
          <w:rFonts w:hint="eastAsia" w:ascii="仿宋_GB2312" w:eastAsia="仿宋_GB2312" w:cs="仿宋_GB2312"/>
          <w:kern w:val="0"/>
          <w:sz w:val="32"/>
          <w:szCs w:val="32"/>
        </w:rPr>
        <w:t>产业和</w:t>
      </w:r>
      <w:r>
        <w:rPr>
          <w:rFonts w:hint="eastAsia" w:ascii="仿宋_GB2312" w:eastAsia="仿宋_GB2312"/>
          <w:sz w:val="32"/>
          <w:szCs w:val="32"/>
        </w:rPr>
        <w:t>科研的深度融合，整合教学资源、科研力量和产业需求，推动创新人才培养模式的发展，结合学校《关于进一步深化产教融合、科教融汇助推人才培养模式改革的通知》精神，特制订本试点实施办法。</w:t>
      </w:r>
    </w:p>
    <w:p w14:paraId="6257207B">
      <w:pPr>
        <w:autoSpaceDE w:val="0"/>
        <w:autoSpaceDN w:val="0"/>
        <w:adjustRightInd w:val="0"/>
        <w:ind w:firstLine="640" w:firstLineChars="200"/>
        <w:jc w:val="left"/>
        <w:rPr>
          <w:rFonts w:ascii="黑体" w:hAnsi="黑体" w:eastAsia="黑体" w:cs="黑体"/>
          <w:kern w:val="0"/>
          <w:sz w:val="32"/>
          <w:szCs w:val="32"/>
        </w:rPr>
      </w:pPr>
      <w:r>
        <w:rPr>
          <w:rFonts w:hint="eastAsia" w:ascii="黑体" w:hAnsi="黑体" w:eastAsia="黑体" w:cs="黑体"/>
          <w:sz w:val="32"/>
          <w:szCs w:val="32"/>
        </w:rPr>
        <w:t>一、</w:t>
      </w:r>
      <w:r>
        <w:rPr>
          <w:rFonts w:hint="eastAsia" w:ascii="黑体" w:hAnsi="黑体" w:eastAsia="黑体" w:cs="黑体"/>
          <w:kern w:val="0"/>
          <w:sz w:val="32"/>
          <w:szCs w:val="32"/>
        </w:rPr>
        <w:t>指导思想</w:t>
      </w:r>
    </w:p>
    <w:p w14:paraId="4385FF73">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聚焦产业真需求、科研真问题，以专业核心能力培养为主线，通过“企业定制化培养”（产教融合）或“科研项目实战训练”（科教融汇）等路径，构建“半年以上深度实践+学分认定”的育人新模式。</w:t>
      </w:r>
    </w:p>
    <w:p w14:paraId="1BAEC91A">
      <w:pPr>
        <w:snapToGrid w:val="0"/>
        <w:spacing w:line="586" w:lineRule="exact"/>
        <w:ind w:firstLine="640" w:firstLineChars="200"/>
        <w:rPr>
          <w:rFonts w:ascii="黑体" w:hAnsi="黑体" w:eastAsia="黑体" w:cs="黑体"/>
          <w:sz w:val="32"/>
          <w:szCs w:val="32"/>
        </w:rPr>
      </w:pPr>
      <w:r>
        <w:rPr>
          <w:rFonts w:hint="eastAsia" w:ascii="黑体" w:hAnsi="黑体" w:eastAsia="黑体" w:cs="黑体"/>
          <w:sz w:val="32"/>
          <w:szCs w:val="32"/>
        </w:rPr>
        <w:t>二、适用对象</w:t>
      </w:r>
    </w:p>
    <w:p w14:paraId="1B659C20">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通信工程专业3年级本科生（2023级）。</w:t>
      </w:r>
    </w:p>
    <w:p w14:paraId="168FFA29">
      <w:pPr>
        <w:snapToGrid w:val="0"/>
        <w:spacing w:line="586" w:lineRule="exact"/>
        <w:ind w:firstLine="640" w:firstLineChars="200"/>
        <w:rPr>
          <w:rFonts w:ascii="黑体" w:hAnsi="黑体" w:eastAsia="黑体" w:cs="黑体"/>
          <w:sz w:val="32"/>
          <w:szCs w:val="32"/>
        </w:rPr>
      </w:pPr>
      <w:r>
        <w:rPr>
          <w:rFonts w:hint="eastAsia" w:ascii="黑体" w:hAnsi="黑体" w:eastAsia="黑体" w:cs="黑体"/>
          <w:kern w:val="0"/>
          <w:sz w:val="32"/>
          <w:szCs w:val="32"/>
        </w:rPr>
        <w:t>三、</w:t>
      </w:r>
      <w:r>
        <w:rPr>
          <w:rFonts w:hint="eastAsia" w:ascii="黑体" w:hAnsi="黑体" w:eastAsia="黑体" w:cs="黑体"/>
          <w:sz w:val="32"/>
          <w:szCs w:val="32"/>
        </w:rPr>
        <w:t>领导小组：</w:t>
      </w:r>
    </w:p>
    <w:p w14:paraId="2C7CB250">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 xml:space="preserve">组长：张智昱 曹卫平 </w:t>
      </w:r>
    </w:p>
    <w:p w14:paraId="46D1827A">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 xml:space="preserve">组员：展领 张法碧 李晓欢 刘涛 </w:t>
      </w:r>
    </w:p>
    <w:p w14:paraId="76AED9CB">
      <w:pPr>
        <w:snapToGrid w:val="0"/>
        <w:spacing w:line="586" w:lineRule="exact"/>
        <w:ind w:firstLine="640" w:firstLineChars="200"/>
        <w:rPr>
          <w:rFonts w:hint="eastAsia" w:ascii="仿宋_GB2312" w:eastAsia="仿宋_GB2312" w:cs="仿宋_GB2312"/>
          <w:kern w:val="0"/>
          <w:sz w:val="32"/>
          <w:szCs w:val="32"/>
        </w:rPr>
      </w:pPr>
      <w:r>
        <w:rPr>
          <w:rFonts w:hint="eastAsia" w:ascii="仿宋_GB2312" w:eastAsia="仿宋_GB2312"/>
          <w:sz w:val="32"/>
          <w:szCs w:val="32"/>
        </w:rPr>
        <w:t>秘书：相关秘书、辅导员</w:t>
      </w:r>
    </w:p>
    <w:p w14:paraId="2CE62C58">
      <w:pPr>
        <w:autoSpaceDE w:val="0"/>
        <w:autoSpaceDN w:val="0"/>
        <w:adjustRightInd w:val="0"/>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四、实施路径</w:t>
      </w:r>
    </w:p>
    <w:p w14:paraId="153FFF84">
      <w:pPr>
        <w:adjustRightInd w:val="0"/>
        <w:snapToGrid w:val="0"/>
        <w:spacing w:line="580" w:lineRule="exact"/>
        <w:ind w:firstLine="641"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1、科教融汇路径</w:t>
      </w:r>
    </w:p>
    <w:p w14:paraId="533A32BC">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以“真问题导向、真研究过程、真成果产出”为科研⼯作导向。开展无线通信技术、智能信息处理、卫星导航、微波与天线技术、集成电路等研究领域方向的课题研究。</w:t>
      </w:r>
    </w:p>
    <w:p w14:paraId="7AB93095">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学生进入高水平科研团队，在科研导师指导下，承担具体研究任务，学习先进科研方法，参与实验研究、数据分析、学术讨论、论文或专利撰写等全过程。</w:t>
      </w:r>
    </w:p>
    <w:p w14:paraId="2D89BF9D">
      <w:pPr>
        <w:adjustRightInd w:val="0"/>
        <w:snapToGrid w:val="0"/>
        <w:spacing w:line="580" w:lineRule="exact"/>
        <w:ind w:firstLine="641"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2、产教融合路径</w:t>
      </w:r>
    </w:p>
    <w:p w14:paraId="45981F96">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聚焦桂林、南宁和珠三角地区行业龙头企业或“专精特新”企业的真需求，学生作为“准员工”进入企业特定岗位或项目组，在企业导师指导下，全程参与需求分析、方案设计、实施调试、测试验证、总结汇报等完整流程。</w:t>
      </w:r>
    </w:p>
    <w:p w14:paraId="4ACE5D23">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实习分为学院统筹安排实习与自主实习两种。</w:t>
      </w:r>
    </w:p>
    <w:p w14:paraId="1888AAB3">
      <w:pPr>
        <w:autoSpaceDE w:val="0"/>
        <w:autoSpaceDN w:val="0"/>
        <w:adjustRightInd w:val="0"/>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五、人才培养方案改革</w:t>
      </w:r>
    </w:p>
    <w:p w14:paraId="4E096580">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将大三下学期课程提前结束（例如：春季学期最长课程48学时，可以考虑每周3次课，在第10周考试结束；春季学期8周+小学期4周+暑期6周+秋季学期到10月，总计6个月参与实习与科研。根据实际情况调整计划，也可以将实习延至秋季学期初。）</w:t>
      </w:r>
    </w:p>
    <w:p w14:paraId="354CB7EB">
      <w:pPr>
        <w:snapToGrid w:val="0"/>
        <w:spacing w:line="586" w:lineRule="exact"/>
        <w:ind w:firstLine="640" w:firstLineChars="200"/>
        <w:rPr>
          <w:rFonts w:hint="eastAsia" w:ascii="仿宋_GB2312" w:eastAsia="仿宋_GB2312"/>
          <w:sz w:val="32"/>
          <w:szCs w:val="32"/>
        </w:rPr>
      </w:pPr>
      <w:r>
        <w:rPr>
          <w:rFonts w:hint="eastAsia" w:ascii="仿宋_GB2312" w:eastAsia="仿宋_GB2312"/>
          <w:sz w:val="32"/>
          <w:szCs w:val="32"/>
        </w:rPr>
        <w:t>同时将在2024级培养方案中将部分第六学期课程调整到第五学期。</w:t>
      </w:r>
    </w:p>
    <w:p w14:paraId="5987BC7C">
      <w:pPr>
        <w:autoSpaceDE w:val="0"/>
        <w:autoSpaceDN w:val="0"/>
        <w:adjustRightInd w:val="0"/>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六、学分认定办法</w:t>
      </w:r>
    </w:p>
    <w:p w14:paraId="4756CAD8">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 xml:space="preserve"> 1、参与产教融合路径学生：（1）认定为“生产实习”学分：直接获得生产实习所需全部学分，可不再参加学院统一组织的短期集中实习；（2）可认定专业工程设计学分，需选课并提交相关材料；(3) 可认定电子工程训练2学分，需选课并提交相关材料;（4）可认定为创新创业拓展课程学分</w:t>
      </w:r>
      <w:r>
        <w:rPr>
          <w:rFonts w:hint="eastAsia" w:ascii="仿宋_GB2312" w:eastAsia="仿宋_GB2312" w:cs="仿宋_GB2312"/>
          <w:kern w:val="0"/>
          <w:sz w:val="32"/>
          <w:szCs w:val="32"/>
        </w:rPr>
        <w:t>（</w:t>
      </w:r>
      <w:r>
        <w:rPr>
          <w:rFonts w:hint="eastAsia" w:ascii="仿宋_GB2312" w:eastAsia="仿宋_GB2312"/>
          <w:sz w:val="32"/>
          <w:szCs w:val="32"/>
        </w:rPr>
        <w:t>具体认定方法见学校相应文件）；（5）根据实际承担的岗位内容，可认定为多元化教育课程学分，需要提交申请并交学院相关课程组进行讨论后认定。</w:t>
      </w:r>
    </w:p>
    <w:p w14:paraId="67B0AC97">
      <w:pPr>
        <w:autoSpaceDE w:val="0"/>
        <w:autoSpaceDN w:val="0"/>
        <w:adjustRightInd w:val="0"/>
        <w:ind w:firstLine="320" w:firstLineChars="100"/>
        <w:jc w:val="left"/>
        <w:rPr>
          <w:rFonts w:hint="eastAsia" w:ascii="仿宋_GB2312" w:eastAsia="仿宋_GB2312" w:cs="仿宋_GB2312"/>
          <w:kern w:val="0"/>
          <w:sz w:val="32"/>
          <w:szCs w:val="32"/>
        </w:rPr>
      </w:pPr>
      <w:r>
        <w:rPr>
          <w:rFonts w:hint="eastAsia" w:ascii="仿宋_GB2312" w:eastAsia="仿宋_GB2312"/>
          <w:sz w:val="32"/>
          <w:szCs w:val="32"/>
        </w:rPr>
        <w:t>2、参与科教协同路径学生：（1）可认定专业工程设计学分，需选课并提交相关材料；(2) 可认定电子工程训练2学分，需选课并提交相关材料;（3）可认定为创新创业拓展课程学分（具体认定方法见学校相应文件）；（4）根据实际承担的岗位内容，可认定为多元化教育课程学分，需要提交申请并交学院相关课程组进行讨论后认定。</w:t>
      </w:r>
    </w:p>
    <w:p w14:paraId="4625FCFA">
      <w:pPr>
        <w:autoSpaceDE w:val="0"/>
        <w:autoSpaceDN w:val="0"/>
        <w:adjustRightInd w:val="0"/>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七、</w:t>
      </w:r>
      <w:bookmarkStart w:id="0" w:name="_Hlk209095017"/>
      <w:r>
        <w:rPr>
          <w:rFonts w:hint="eastAsia" w:ascii="黑体" w:hAnsi="黑体" w:eastAsia="黑体" w:cs="黑体"/>
          <w:kern w:val="0"/>
          <w:sz w:val="32"/>
          <w:szCs w:val="32"/>
        </w:rPr>
        <w:t>教师指导与考核评价</w:t>
      </w:r>
      <w:bookmarkEnd w:id="0"/>
    </w:p>
    <w:p w14:paraId="7FD9FAD0">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参与产教融合路径学生全面实施“双导师制”：</w:t>
      </w:r>
    </w:p>
    <w:p w14:paraId="1139C3D8">
      <w:pPr>
        <w:adjustRightInd w:val="0"/>
        <w:snapToGrid w:val="0"/>
        <w:spacing w:line="580" w:lineRule="exact"/>
        <w:ind w:firstLine="641" w:firstLineChars="200"/>
        <w:rPr>
          <w:rFonts w:hint="eastAsia" w:ascii="仿宋_GB2312" w:eastAsia="仿宋_GB2312" w:cs="仿宋_GB2312"/>
          <w:kern w:val="0"/>
          <w:sz w:val="32"/>
          <w:szCs w:val="32"/>
        </w:rPr>
      </w:pPr>
      <w:r>
        <w:rPr>
          <w:rFonts w:hint="eastAsia" w:ascii="楷体_GB2312" w:hAnsi="仿宋" w:eastAsia="楷体_GB2312" w:cs="仿宋_GB2312"/>
          <w:b/>
          <w:bCs/>
          <w:sz w:val="32"/>
          <w:szCs w:val="32"/>
        </w:rPr>
        <w:t>1、导师聘用</w:t>
      </w:r>
    </w:p>
    <w:p w14:paraId="295EE584">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（1）要求企业为学生配备企业导师（主要负责学生在企业课题的指导、实施）；</w:t>
      </w:r>
    </w:p>
    <w:p w14:paraId="386D60AE">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（2）学院为学生配备校内联合导师，校内导师原则上要求和企业研究方向相近的教师担任，有和企业开展合作研究的可能，并作为该企业特派员常年负责与该企业的业务开展。</w:t>
      </w:r>
    </w:p>
    <w:p w14:paraId="5D76433C">
      <w:pPr>
        <w:adjustRightInd w:val="0"/>
        <w:snapToGrid w:val="0"/>
        <w:spacing w:line="580" w:lineRule="exact"/>
        <w:ind w:firstLine="641" w:firstLineChars="200"/>
        <w:rPr>
          <w:rFonts w:hint="eastAsia" w:ascii="楷体_GB2312" w:hAnsi="仿宋" w:eastAsia="楷体_GB2312" w:cs="仿宋_GB2312"/>
          <w:b/>
          <w:bCs/>
          <w:sz w:val="32"/>
          <w:szCs w:val="32"/>
        </w:rPr>
      </w:pPr>
      <w:r>
        <w:rPr>
          <w:rFonts w:hint="eastAsia" w:ascii="楷体_GB2312" w:hAnsi="仿宋" w:eastAsia="楷体_GB2312" w:cs="仿宋_GB2312"/>
          <w:b/>
          <w:bCs/>
          <w:sz w:val="32"/>
          <w:szCs w:val="32"/>
        </w:rPr>
        <w:t>2.导师职责</w:t>
      </w:r>
    </w:p>
    <w:p w14:paraId="1CFE29D8">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（1）共同指导学生制定个人实践学习计划。</w:t>
      </w:r>
    </w:p>
    <w:p w14:paraId="5D97FD29">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（2）定期（至少每周一次）与学生进行线上或线下交流指导，关注学生思想和学习动态，协调学生与企业相关事务。</w:t>
      </w:r>
    </w:p>
    <w:p w14:paraId="2AD808DA">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（3）共同负责学生实践过程的考核与评价。</w:t>
      </w:r>
    </w:p>
    <w:p w14:paraId="1E0268AC">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（4）校企导师共同研讨解决实践中遇到的问题。</w:t>
      </w:r>
    </w:p>
    <w:p w14:paraId="0FA16C95">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（5）积极参与企业项目，与企业进行合作研究。</w:t>
      </w:r>
    </w:p>
    <w:p w14:paraId="69CC4BD7">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3、考核评价与教师工作量计算由学院相关实习办法和学院科教协同实施办法决定。</w:t>
      </w:r>
    </w:p>
    <w:p w14:paraId="5D0768B1">
      <w:pPr>
        <w:autoSpaceDE w:val="0"/>
        <w:autoSpaceDN w:val="0"/>
        <w:adjustRightInd w:val="0"/>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八、保障措施</w:t>
      </w:r>
    </w:p>
    <w:p w14:paraId="558885A7">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1、学院成立专门小组负责实习基地的遴选与维护。</w:t>
      </w:r>
    </w:p>
    <w:p w14:paraId="717C41D7">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 xml:space="preserve">组长：张智昱 曹卫平 </w:t>
      </w:r>
    </w:p>
    <w:p w14:paraId="46F6BDB5">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副组长：展领 张法碧 李晓欢 刘涛 专业负责人</w:t>
      </w:r>
    </w:p>
    <w:p w14:paraId="59B6A72D">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成员：相关专业系主任、副高及以上专任教师、相关辅导员。</w:t>
      </w:r>
    </w:p>
    <w:p w14:paraId="02D8921D">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秘书：相关秘书</w:t>
      </w:r>
    </w:p>
    <w:p w14:paraId="1810BF53">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职责：组长和副组长负责制定实习相关政策，与基地领导沟通；成员负责具体联系实习基地，并积极与实习基地进行合作，负责实习过程的指导，作为实习的校方导师；秘书负责实习基地数据统计。</w:t>
      </w:r>
    </w:p>
    <w:p w14:paraId="12CA7EBE">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2、遴选实习企业基本标准</w:t>
      </w:r>
    </w:p>
    <w:p w14:paraId="0F30ACB7">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（1）遴选企业要与专业具有较好的契合度；</w:t>
      </w:r>
    </w:p>
    <w:p w14:paraId="3B0D8458">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（2）遴选企业以广西和大湾区为主；</w:t>
      </w:r>
    </w:p>
    <w:p w14:paraId="366F8062">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（3）企业应该有为学生解决住宿（或者提供住宿补贴）和安全保障的能力。</w:t>
      </w:r>
    </w:p>
    <w:p w14:paraId="0AB80C31">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（4）企业可以优先考虑实习学生的就业。</w:t>
      </w:r>
    </w:p>
    <w:p w14:paraId="531E8CF7">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（5）优先遴选头部企业。</w:t>
      </w:r>
    </w:p>
    <w:p w14:paraId="0FD9DBF6">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3、学院成立专门小组负责科教融汇工作小组（另文）。</w:t>
      </w:r>
    </w:p>
    <w:p w14:paraId="33D83340">
      <w:pPr>
        <w:autoSpaceDE w:val="0"/>
        <w:autoSpaceDN w:val="0"/>
        <w:adjustRightInd w:val="0"/>
        <w:ind w:firstLine="320" w:firstLineChars="100"/>
        <w:jc w:val="left"/>
        <w:rPr>
          <w:rFonts w:hint="eastAsia" w:ascii="仿宋_GB2312" w:eastAsia="仿宋_GB2312"/>
          <w:sz w:val="32"/>
          <w:szCs w:val="32"/>
        </w:rPr>
      </w:pPr>
      <w:r>
        <w:rPr>
          <w:rFonts w:hint="eastAsia" w:ascii="仿宋_GB2312" w:eastAsia="仿宋_GB2312"/>
          <w:sz w:val="32"/>
          <w:szCs w:val="32"/>
        </w:rPr>
        <w:t>4、建议学校设立专门部门和专岗常年负责与企业的联系（包含但不限于学生培养、科研、教师培养）。</w:t>
      </w:r>
    </w:p>
    <w:p w14:paraId="0832F1A6">
      <w:pPr>
        <w:autoSpaceDE w:val="0"/>
        <w:autoSpaceDN w:val="0"/>
        <w:adjustRightInd w:val="0"/>
        <w:ind w:firstLine="320" w:firstLineChars="100"/>
        <w:jc w:val="left"/>
        <w:rPr>
          <w:rFonts w:hint="eastAsia" w:ascii="仿宋_GB2312" w:eastAsia="仿宋_GB2312"/>
          <w:sz w:val="32"/>
          <w:szCs w:val="32"/>
        </w:rPr>
      </w:pPr>
    </w:p>
    <w:p w14:paraId="256D2727">
      <w:pPr>
        <w:snapToGrid w:val="0"/>
        <w:spacing w:line="586" w:lineRule="exact"/>
        <w:ind w:firstLine="640" w:firstLineChars="200"/>
        <w:jc w:val="right"/>
        <w:rPr>
          <w:rFonts w:hint="eastAsia" w:ascii="仿宋_GB2312" w:eastAsia="仿宋_GB2312"/>
          <w:sz w:val="32"/>
          <w:szCs w:val="32"/>
        </w:rPr>
      </w:pPr>
      <w:r>
        <w:rPr>
          <w:rFonts w:hint="eastAsia" w:ascii="仿宋_GB2312" w:eastAsia="仿宋_GB2312"/>
          <w:sz w:val="32"/>
          <w:szCs w:val="32"/>
        </w:rPr>
        <w:t xml:space="preserve">    信息与通信学院</w:t>
      </w:r>
    </w:p>
    <w:p w14:paraId="6783BF55">
      <w:pPr>
        <w:snapToGrid w:val="0"/>
        <w:spacing w:line="586" w:lineRule="exact"/>
        <w:ind w:firstLine="640" w:firstLineChars="200"/>
        <w:jc w:val="center"/>
        <w:rPr>
          <w:rFonts w:hint="eastAsia" w:ascii="仿宋_GB2312" w:eastAsia="仿宋_GB2312"/>
          <w:sz w:val="32"/>
          <w:szCs w:val="32"/>
        </w:rPr>
      </w:pPr>
      <w:r>
        <w:rPr>
          <w:rFonts w:hint="eastAsia" w:ascii="仿宋_GB2312" w:eastAsia="仿宋_GB2312"/>
          <w:sz w:val="32"/>
          <w:szCs w:val="32"/>
        </w:rPr>
        <w:t xml:space="preserve">                                  2025年9月</w:t>
      </w:r>
    </w:p>
    <w:p w14:paraId="44501A9D">
      <w:pPr>
        <w:autoSpaceDE w:val="0"/>
        <w:autoSpaceDN w:val="0"/>
        <w:adjustRightInd w:val="0"/>
        <w:ind w:firstLine="640" w:firstLineChars="200"/>
        <w:jc w:val="right"/>
        <w:rPr>
          <w:rFonts w:hint="eastAsia" w:ascii="仿宋_GB2312" w:eastAsia="仿宋_GB2312" w:cs="仿宋_GB2312"/>
          <w:kern w:val="0"/>
          <w:sz w:val="32"/>
          <w:szCs w:val="32"/>
        </w:rPr>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DengXian">
    <w:altName w:val="汉仪中等线KW"/>
    <w:panose1 w:val="00000000000000000000"/>
    <w:charset w:val="00"/>
    <w:family w:val="auto"/>
    <w:pitch w:val="default"/>
    <w:sig w:usb0="00000000" w:usb1="00000000" w:usb2="00000000" w:usb3="00000000" w:csb0="0000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方正小标宋_GBK">
    <w:altName w:val="方正小标宋简体"/>
    <w:panose1 w:val="00000000000000000000"/>
    <w:charset w:val="86"/>
    <w:family w:val="script"/>
    <w:pitch w:val="default"/>
    <w:sig w:usb0="00000000" w:usb1="00000000" w:usb2="00000010" w:usb3="00000000" w:csb0="00040000" w:csb1="00000000"/>
  </w:font>
  <w:font w:name="方正小标宋简体">
    <w:panose1 w:val="02000000000000000000"/>
    <w:charset w:val="86"/>
    <w:family w:val="auto"/>
    <w:pitch w:val="default"/>
    <w:sig w:usb0="00000001" w:usb1="08000000" w:usb2="00000000" w:usb3="00000000" w:csb0="00040000" w:csb1="00000000"/>
  </w:font>
  <w:font w:name="黑体">
    <w:altName w:val="汉仪中黑KW"/>
    <w:panose1 w:val="00000000000000000000"/>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A00002BF" w:usb1="38CF7CFA" w:usb2="00082016" w:usb3="00000000" w:csb0="00040001" w:csb1="00000000"/>
  </w:font>
  <w:font w:name="楷体_GB2312">
    <w:altName w:val="汉仪楷体简"/>
    <w:panose1 w:val="02010609030101010101"/>
    <w:charset w:val="86"/>
    <w:family w:val="modern"/>
    <w:pitch w:val="default"/>
    <w:sig w:usb0="00000000" w:usb1="00000000" w:usb2="00000010" w:usb3="00000000" w:csb0="00040000" w:csb1="00000000"/>
  </w:font>
  <w:font w:name="汉仪楷体简">
    <w:panose1 w:val="02010600000101010101"/>
    <w:charset w:val="86"/>
    <w:family w:val="auto"/>
    <w:pitch w:val="default"/>
    <w:sig w:usb0="00000001" w:usb1="080E0800" w:usb2="00000002"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swiss"/>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F45"/>
    <w:rsid w:val="00006F7E"/>
    <w:rsid w:val="00043F45"/>
    <w:rsid w:val="000856D7"/>
    <w:rsid w:val="000901BB"/>
    <w:rsid w:val="00093C4D"/>
    <w:rsid w:val="000945CD"/>
    <w:rsid w:val="000A28B7"/>
    <w:rsid w:val="001034F1"/>
    <w:rsid w:val="00103693"/>
    <w:rsid w:val="00103B17"/>
    <w:rsid w:val="0010589F"/>
    <w:rsid w:val="001309D1"/>
    <w:rsid w:val="00171C3E"/>
    <w:rsid w:val="001730B9"/>
    <w:rsid w:val="0019511A"/>
    <w:rsid w:val="001A08E3"/>
    <w:rsid w:val="001A10F9"/>
    <w:rsid w:val="001A6283"/>
    <w:rsid w:val="001B78B0"/>
    <w:rsid w:val="001C3761"/>
    <w:rsid w:val="00200BB8"/>
    <w:rsid w:val="00210D71"/>
    <w:rsid w:val="00252CE8"/>
    <w:rsid w:val="00287F81"/>
    <w:rsid w:val="00290FF9"/>
    <w:rsid w:val="002935A5"/>
    <w:rsid w:val="002972FD"/>
    <w:rsid w:val="002B6C26"/>
    <w:rsid w:val="002E6D3F"/>
    <w:rsid w:val="00352329"/>
    <w:rsid w:val="00353D87"/>
    <w:rsid w:val="00384DAF"/>
    <w:rsid w:val="00393D85"/>
    <w:rsid w:val="003B5AEA"/>
    <w:rsid w:val="003F2B6C"/>
    <w:rsid w:val="003F4CD8"/>
    <w:rsid w:val="00420AA4"/>
    <w:rsid w:val="004478FE"/>
    <w:rsid w:val="004773E3"/>
    <w:rsid w:val="004A6290"/>
    <w:rsid w:val="004C252D"/>
    <w:rsid w:val="004C5E3A"/>
    <w:rsid w:val="00540CB9"/>
    <w:rsid w:val="00580046"/>
    <w:rsid w:val="00593FB1"/>
    <w:rsid w:val="005C173D"/>
    <w:rsid w:val="005D7FC1"/>
    <w:rsid w:val="005F0282"/>
    <w:rsid w:val="006138FA"/>
    <w:rsid w:val="0062675C"/>
    <w:rsid w:val="0064378E"/>
    <w:rsid w:val="00647295"/>
    <w:rsid w:val="00662F5C"/>
    <w:rsid w:val="00665309"/>
    <w:rsid w:val="0067377D"/>
    <w:rsid w:val="0069146F"/>
    <w:rsid w:val="006942EC"/>
    <w:rsid w:val="006B3F13"/>
    <w:rsid w:val="006C34F8"/>
    <w:rsid w:val="00705728"/>
    <w:rsid w:val="00742829"/>
    <w:rsid w:val="007B16E1"/>
    <w:rsid w:val="007B2A4F"/>
    <w:rsid w:val="008025E9"/>
    <w:rsid w:val="00806488"/>
    <w:rsid w:val="00875541"/>
    <w:rsid w:val="008826DA"/>
    <w:rsid w:val="008C4032"/>
    <w:rsid w:val="008C796D"/>
    <w:rsid w:val="008E14B1"/>
    <w:rsid w:val="008E493E"/>
    <w:rsid w:val="008F67E7"/>
    <w:rsid w:val="00920C05"/>
    <w:rsid w:val="0092203F"/>
    <w:rsid w:val="00922AE2"/>
    <w:rsid w:val="00940B58"/>
    <w:rsid w:val="009527CC"/>
    <w:rsid w:val="00966F4C"/>
    <w:rsid w:val="00973A1C"/>
    <w:rsid w:val="009A6EFF"/>
    <w:rsid w:val="009D5738"/>
    <w:rsid w:val="009D7D1C"/>
    <w:rsid w:val="00A0111D"/>
    <w:rsid w:val="00A07680"/>
    <w:rsid w:val="00A11B60"/>
    <w:rsid w:val="00A309FA"/>
    <w:rsid w:val="00AA07CD"/>
    <w:rsid w:val="00AA76BF"/>
    <w:rsid w:val="00AB1081"/>
    <w:rsid w:val="00B17E74"/>
    <w:rsid w:val="00B23DE5"/>
    <w:rsid w:val="00B4118B"/>
    <w:rsid w:val="00B5241F"/>
    <w:rsid w:val="00B62F01"/>
    <w:rsid w:val="00B83C19"/>
    <w:rsid w:val="00BA0DC4"/>
    <w:rsid w:val="00BB2A12"/>
    <w:rsid w:val="00BC30DC"/>
    <w:rsid w:val="00BD4458"/>
    <w:rsid w:val="00BE09AF"/>
    <w:rsid w:val="00BF0929"/>
    <w:rsid w:val="00C208C4"/>
    <w:rsid w:val="00C32528"/>
    <w:rsid w:val="00C33EF7"/>
    <w:rsid w:val="00C5598B"/>
    <w:rsid w:val="00C562F5"/>
    <w:rsid w:val="00CA5F7B"/>
    <w:rsid w:val="00CC6C59"/>
    <w:rsid w:val="00CD575F"/>
    <w:rsid w:val="00CE1579"/>
    <w:rsid w:val="00CF17FA"/>
    <w:rsid w:val="00CF5873"/>
    <w:rsid w:val="00D63CA0"/>
    <w:rsid w:val="00D675FD"/>
    <w:rsid w:val="00DB6E89"/>
    <w:rsid w:val="00DC44D7"/>
    <w:rsid w:val="00DC5BD3"/>
    <w:rsid w:val="00E16120"/>
    <w:rsid w:val="00E32D76"/>
    <w:rsid w:val="00E360DB"/>
    <w:rsid w:val="00E5700A"/>
    <w:rsid w:val="00E6034E"/>
    <w:rsid w:val="00EA0F8E"/>
    <w:rsid w:val="00EC23B8"/>
    <w:rsid w:val="00ED545A"/>
    <w:rsid w:val="00F243D9"/>
    <w:rsid w:val="00F32721"/>
    <w:rsid w:val="00F40358"/>
    <w:rsid w:val="00F40F2E"/>
    <w:rsid w:val="00F4350F"/>
    <w:rsid w:val="00F443C0"/>
    <w:rsid w:val="00F459E5"/>
    <w:rsid w:val="00F50A0B"/>
    <w:rsid w:val="00F82AAB"/>
    <w:rsid w:val="00F84F95"/>
    <w:rsid w:val="7FEF65EB"/>
    <w:rsid w:val="AC7F7DEA"/>
    <w:rsid w:val="EBF714C1"/>
    <w:rsid w:val="FB931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tabs>
        <w:tab w:val="center" w:pos="4153"/>
        <w:tab w:val="right" w:pos="8306"/>
      </w:tabs>
      <w:snapToGrid w:val="0"/>
      <w:jc w:val="center"/>
    </w:pPr>
    <w:rPr>
      <w:sz w:val="18"/>
      <w:szCs w:val="18"/>
    </w:rPr>
  </w:style>
  <w:style w:type="table" w:styleId="5">
    <w:name w:val="Table Grid"/>
    <w:basedOn w:val="4"/>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 w:type="character" w:customStyle="1" w:styleId="8">
    <w:name w:val="页眉 字符"/>
    <w:basedOn w:val="6"/>
    <w:link w:val="3"/>
    <w:uiPriority w:val="99"/>
    <w:rPr>
      <w:sz w:val="18"/>
      <w:szCs w:val="18"/>
    </w:rPr>
  </w:style>
  <w:style w:type="character" w:customStyle="1" w:styleId="9">
    <w:name w:val="页脚 字符"/>
    <w:basedOn w:val="6"/>
    <w:link w:val="2"/>
    <w:uiPriority w:val="99"/>
    <w:rPr>
      <w:sz w:val="18"/>
      <w:szCs w:val="18"/>
    </w:rPr>
  </w:style>
  <w:style w:type="paragraph" w:customStyle="1" w:styleId="10">
    <w:name w:val="修订1"/>
    <w:hidden/>
    <w:semiHidden/>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946</Words>
  <Characters>956</Characters>
  <Lines>47</Lines>
  <Paragraphs>47</Paragraphs>
  <TotalTime>42</TotalTime>
  <ScaleCrop>false</ScaleCrop>
  <LinksUpToDate>false</LinksUpToDate>
  <CharactersWithSpaces>1855</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2025-09-30T23:39:00Z</dcterms:created>
  <dc:creator>チョウ ホウヘキ</dc:creator>
  <cp:lastModifiedBy>南方热汤</cp:lastModifiedBy>
  <dcterms:modified xsi:type="dcterms:W3CDTF">2026-05-22T09:00:42Z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ICV">
    <vt:lpwstr>B0D0A2CF61380ACF884B5E69E4D92B61_42</vt:lpwstr>
  </property>
</Properties>
</file>