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360" w:lineRule="auto"/>
        <w:rPr>
          <w:rFonts w:ascii="黑体" w:hAnsi="黑体" w:eastAsia="黑体"/>
          <w:bCs/>
          <w:sz w:val="32"/>
          <w:szCs w:val="32"/>
        </w:rPr>
      </w:pPr>
      <w:r>
        <w:rPr>
          <w:rFonts w:ascii="黑体" w:hAnsi="黑体" w:eastAsia="黑体" w:cs="Arial"/>
          <w:bCs/>
          <w:sz w:val="32"/>
          <w:szCs w:val="32"/>
        </w:rPr>
        <w:t>附件</w:t>
      </w:r>
      <w:r>
        <w:rPr>
          <w:rFonts w:hint="eastAsia" w:ascii="黑体" w:hAnsi="黑体" w:eastAsia="黑体" w:cs="Arial"/>
          <w:bCs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 w:cs="Arial"/>
          <w:bCs/>
          <w:sz w:val="32"/>
          <w:szCs w:val="32"/>
        </w:rPr>
        <w:t>：</w:t>
      </w:r>
      <w:bookmarkStart w:id="0" w:name="_GoBack"/>
      <w:bookmarkEnd w:id="0"/>
    </w:p>
    <w:p>
      <w:pPr>
        <w:autoSpaceDE w:val="0"/>
        <w:autoSpaceDN w:val="0"/>
        <w:jc w:val="center"/>
        <w:rPr>
          <w:rFonts w:ascii="黑体" w:hAnsi="黑体" w:eastAsia="黑体" w:cs="ETAFFC+FZXBSK--GBK1-0"/>
          <w:color w:val="000000"/>
          <w:sz w:val="32"/>
          <w:szCs w:val="32"/>
        </w:rPr>
      </w:pPr>
      <w:r>
        <w:rPr>
          <w:rFonts w:ascii="黑体" w:hAnsi="黑体" w:eastAsia="黑体" w:cs="ETAFFC+FZXBSK--GBK1-0"/>
          <w:color w:val="000000"/>
          <w:spacing w:val="-1"/>
          <w:sz w:val="32"/>
          <w:szCs w:val="32"/>
        </w:rPr>
        <w:t>桂林电子科技大学</w:t>
      </w:r>
      <w:r>
        <w:rPr>
          <w:rFonts w:ascii="黑体" w:hAnsi="黑体" w:eastAsia="黑体" w:cs="ETAFFC+FZXBSK--GBK1-0"/>
          <w:color w:val="000000"/>
          <w:sz w:val="32"/>
          <w:szCs w:val="32"/>
        </w:rPr>
        <w:t>第</w:t>
      </w:r>
      <w:r>
        <w:rPr>
          <w:rFonts w:hint="eastAsia" w:ascii="黑体" w:hAnsi="黑体" w:eastAsia="黑体" w:cs="ETAFFC+FZXBSK--GBK1-0"/>
          <w:color w:val="000000"/>
          <w:sz w:val="32"/>
          <w:szCs w:val="32"/>
        </w:rPr>
        <w:t>二十届</w:t>
      </w:r>
      <w:r>
        <w:rPr>
          <w:rFonts w:ascii="黑体" w:hAnsi="黑体" w:eastAsia="黑体" w:cs="ETAFFC+FZXBSK--GBK1-0"/>
          <w:color w:val="000000"/>
          <w:sz w:val="32"/>
          <w:szCs w:val="32"/>
        </w:rPr>
        <w:t>大学生数学建模竞赛</w:t>
      </w:r>
    </w:p>
    <w:p>
      <w:pPr>
        <w:autoSpaceDE w:val="0"/>
        <w:autoSpaceDN w:val="0"/>
        <w:jc w:val="center"/>
        <w:rPr>
          <w:rFonts w:ascii="黑体" w:hAnsi="黑体" w:eastAsia="黑体"/>
          <w:color w:val="000000"/>
          <w:sz w:val="32"/>
          <w:szCs w:val="32"/>
        </w:rPr>
      </w:pPr>
      <w:r>
        <w:rPr>
          <w:rFonts w:ascii="黑体" w:hAnsi="黑体" w:eastAsia="黑体" w:cs="ETAFFC+FZXBSK--GBK1-0"/>
          <w:color w:val="000000"/>
          <w:sz w:val="32"/>
          <w:szCs w:val="32"/>
        </w:rPr>
        <w:t>最佳组织单位奖评选办法</w:t>
      </w:r>
    </w:p>
    <w:p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根据自治区关于《全国大学生数学建模竞赛广西赛区优秀组织学校、优秀组织工作者、优秀指导教师评选办法（试行）》文件精神，结合我校实际情况，鼓励我校各学院积极组织参加竞赛，特制定本办法。</w:t>
      </w:r>
    </w:p>
    <w:p>
      <w:pPr>
        <w:pStyle w:val="8"/>
        <w:numPr>
          <w:ilvl w:val="0"/>
          <w:numId w:val="1"/>
        </w:numPr>
        <w:spacing w:line="360" w:lineRule="auto"/>
        <w:ind w:firstLineChars="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评选范围</w:t>
      </w:r>
    </w:p>
    <w:p>
      <w:pPr>
        <w:spacing w:line="360" w:lineRule="auto"/>
        <w:ind w:left="48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参加此次竞赛的学院，数学与计算科学学院不参评。</w:t>
      </w:r>
    </w:p>
    <w:p>
      <w:pPr>
        <w:spacing w:line="360" w:lineRule="auto"/>
        <w:ind w:left="48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二、评选条件</w:t>
      </w:r>
    </w:p>
    <w:p>
      <w:pPr>
        <w:spacing w:line="360" w:lineRule="auto"/>
        <w:ind w:left="48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1.学院组织工作到位，有专人负责，积极配合竞赛组委会开展工作</w:t>
      </w:r>
      <w:r>
        <w:rPr>
          <w:rFonts w:hint="eastAsia" w:ascii="宋体" w:hAnsi="宋体" w:eastAsia="宋体"/>
          <w:sz w:val="24"/>
          <w:szCs w:val="24"/>
        </w:rPr>
        <w:t>。</w:t>
      </w:r>
    </w:p>
    <w:p>
      <w:pPr>
        <w:spacing w:line="360" w:lineRule="auto"/>
        <w:ind w:left="48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2.所在学院成功参赛学生人数多，执行竞赛章程好，无违规现象，获奖率高</w:t>
      </w:r>
      <w:r>
        <w:rPr>
          <w:rFonts w:hint="eastAsia" w:ascii="宋体" w:hAnsi="宋体" w:eastAsia="宋体"/>
          <w:sz w:val="24"/>
          <w:szCs w:val="24"/>
        </w:rPr>
        <w:t>。</w:t>
      </w:r>
      <w:r>
        <w:rPr>
          <w:rFonts w:ascii="宋体" w:hAnsi="宋体" w:eastAsia="宋体"/>
          <w:sz w:val="24"/>
          <w:szCs w:val="24"/>
        </w:rPr>
        <w:t>三、评选指标及计算公式</w:t>
      </w:r>
    </w:p>
    <w:tbl>
      <w:tblPr>
        <w:tblStyle w:val="6"/>
        <w:tblW w:w="83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6"/>
        <w:gridCol w:w="67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指标点</w:t>
            </w:r>
          </w:p>
        </w:tc>
        <w:tc>
          <w:tcPr>
            <w:tcW w:w="6757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计算公式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6" w:type="dxa"/>
            <w:vAlign w:val="center"/>
          </w:tcPr>
          <w:p>
            <w:pPr>
              <w:ind w:firstLine="170" w:firstLineChars="71"/>
              <w:jc w:val="center"/>
              <w:rPr>
                <w:rFonts w:ascii="宋体" w:hAnsi="宋体" w:eastAsia="宋体"/>
                <w:sz w:val="24"/>
                <w:szCs w:val="24"/>
                <w:vertAlign w:val="subscript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组织报名X</w:t>
            </w:r>
            <w:r>
              <w:rPr>
                <w:rFonts w:ascii="宋体" w:hAnsi="宋体" w:eastAsia="宋体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6757" w:type="dxa"/>
          </w:tcPr>
          <w:p>
            <w:pPr>
              <w:rPr>
                <w:rFonts w:ascii="宋体" w:hAnsi="宋体" w:eastAsia="宋体"/>
                <w:szCs w:val="21"/>
              </w:rPr>
            </w:pPr>
            <m:oMathPara>
              <m:oMathParaPr>
                <m:jc m:val="center"/>
              </m:oMathParaPr>
              <m:oMath>
                <m:r>
                  <m:rPr>
                    <m:sty m:val="p"/>
                  </m:rPr>
                  <w:rPr>
                    <w:rFonts w:ascii="Cambria Math" w:hAnsi="Cambria Math" w:eastAsia="宋体" w:cs="宋体"/>
                    <w:color w:val="000000"/>
                    <w:spacing w:val="1"/>
                    <w:szCs w:val="21"/>
                  </w:rPr>
                  <m:t>组织报名分</m:t>
                </m:r>
                <m:r>
                  <m:rPr>
                    <m:sty m:val="p"/>
                  </m:rPr>
                  <w:rPr>
                    <w:rFonts w:hint="eastAsia" w:ascii="Cambria Math" w:hAnsi="Cambria Math" w:eastAsia="宋体" w:cs="宋体"/>
                    <w:color w:val="000000"/>
                    <w:spacing w:val="1"/>
                    <w:szCs w:val="21"/>
                  </w:rPr>
                  <m:t>=</m:t>
                </m:r>
                <m:f>
                  <m:fPr>
                    <m:ctrlPr>
                      <w:rPr>
                        <w:rFonts w:ascii="Cambria Math" w:hAnsi="Cambria Math" w:eastAsia="宋体" w:cs="宋体"/>
                        <w:color w:val="000000"/>
                        <w:spacing w:val="1"/>
                        <w:szCs w:val="21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hint="eastAsia" w:ascii="Cambria Math" w:hAnsi="Cambria Math" w:eastAsia="宋体" w:cs="宋体"/>
                        <w:color w:val="000000"/>
                        <w:spacing w:val="1"/>
                        <w:szCs w:val="21"/>
                      </w:rPr>
                      <m:t>学院</m:t>
                    </m:r>
                    <m:r>
                      <m:rPr>
                        <m:sty m:val="p"/>
                      </m:rPr>
                      <w:rPr>
                        <w:rFonts w:ascii="Cambria Math" w:hAnsi="Cambria Math" w:eastAsia="宋体" w:cs="宋体"/>
                        <w:color w:val="000000"/>
                        <w:szCs w:val="21"/>
                      </w:rPr>
                      <m:t>组织报名学生数</m:t>
                    </m:r>
                    <m:ctrlPr>
                      <w:rPr>
                        <w:rFonts w:ascii="Cambria Math" w:hAnsi="Cambria Math" w:eastAsia="宋体" w:cs="宋体"/>
                        <w:color w:val="000000"/>
                        <w:spacing w:val="1"/>
                        <w:szCs w:val="21"/>
                      </w:rPr>
                    </m:ctrlPr>
                  </m:num>
                  <m:den>
                    <m:r>
                      <m:rPr>
                        <m:sty m:val="p"/>
                      </m:rPr>
                      <w:rPr>
                        <w:rFonts w:hint="eastAsia" w:ascii="Cambria Math" w:hAnsi="Cambria Math" w:eastAsia="宋体" w:cs="宋体"/>
                        <w:color w:val="000000"/>
                        <w:spacing w:val="1"/>
                        <w:szCs w:val="21"/>
                      </w:rPr>
                      <m:t>学院</m:t>
                    </m:r>
                    <m:r>
                      <m:rPr>
                        <m:sty m:val="p"/>
                      </m:rPr>
                      <w:rPr>
                        <w:rFonts w:ascii="Cambria Math" w:hAnsi="Cambria Math" w:eastAsia="宋体" w:cs="宋体"/>
                        <w:color w:val="000000"/>
                        <w:spacing w:val="1"/>
                        <w:szCs w:val="21"/>
                      </w:rPr>
                      <m:t>学生总人数（</m:t>
                    </m:r>
                    <m:r>
                      <m:rPr>
                        <m:sty m:val="p"/>
                      </m:rPr>
                      <w:rPr>
                        <w:rFonts w:hint="eastAsia" w:ascii="Cambria Math" w:hAnsi="Cambria Math" w:eastAsia="宋体" w:cs="宋体"/>
                        <w:color w:val="000000"/>
                        <w:spacing w:val="1"/>
                        <w:szCs w:val="21"/>
                      </w:rPr>
                      <m:t>除大四</m:t>
                    </m:r>
                    <m:r>
                      <m:rPr>
                        <m:sty m:val="p"/>
                      </m:rPr>
                      <w:rPr>
                        <w:rFonts w:ascii="Cambria Math" w:hAnsi="Cambria Math" w:eastAsia="宋体" w:cs="宋体"/>
                        <w:color w:val="000000"/>
                        <w:spacing w:val="1"/>
                        <w:szCs w:val="21"/>
                      </w:rPr>
                      <m:t>，以教务系统为准）</m:t>
                    </m:r>
                    <m:ctrlPr>
                      <w:rPr>
                        <w:rFonts w:ascii="Cambria Math" w:hAnsi="Cambria Math" w:eastAsia="宋体" w:cs="宋体"/>
                        <w:color w:val="000000"/>
                        <w:spacing w:val="1"/>
                        <w:szCs w:val="21"/>
                      </w:rPr>
                    </m:ctrlPr>
                  </m:den>
                </m:f>
                <m:r>
                  <m:rPr/>
                  <w:rPr>
                    <w:rFonts w:ascii="Cambria Math" w:hAnsi="Cambria Math" w:eastAsia="宋体" w:cs="宋体"/>
                    <w:color w:val="000000"/>
                    <w:spacing w:val="1"/>
                    <w:szCs w:val="21"/>
                  </w:rPr>
                  <m:t>30%</m:t>
                </m:r>
              </m:oMath>
            </m:oMathPara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  <w:vertAlign w:val="subscript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竞赛</w:t>
            </w:r>
            <w:r>
              <w:rPr>
                <w:rFonts w:ascii="宋体" w:hAnsi="宋体" w:eastAsia="宋体"/>
                <w:sz w:val="24"/>
                <w:szCs w:val="24"/>
              </w:rPr>
              <w:t>论文提交X</w:t>
            </w:r>
            <w:r>
              <w:rPr>
                <w:rFonts w:ascii="宋体" w:hAnsi="宋体" w:eastAsia="宋体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6757" w:type="dxa"/>
          </w:tcPr>
          <w:p>
            <w:pPr>
              <w:ind w:firstLine="420"/>
              <w:rPr>
                <w:rFonts w:ascii="宋体" w:hAnsi="宋体" w:eastAsia="宋体"/>
              </w:rPr>
            </w:pPr>
            <m:oMathPara>
              <m:oMathParaPr>
                <m:jc m:val="center"/>
              </m:oMathParaPr>
              <m:oMath>
                <m:r>
                  <m:rPr>
                    <m:sty m:val="p"/>
                  </m:rPr>
                  <w:rPr>
                    <w:rFonts w:hint="eastAsia" w:ascii="Cambria Math" w:hAnsi="Cambria Math" w:eastAsia="宋体"/>
                    <w:szCs w:val="21"/>
                  </w:rPr>
                  <m:t>竞赛论文</m:t>
                </m:r>
                <m:r>
                  <m:rPr>
                    <m:sty m:val="p"/>
                  </m:rPr>
                  <w:rPr>
                    <w:rFonts w:ascii="Cambria Math" w:hAnsi="Cambria Math" w:eastAsia="宋体"/>
                    <w:szCs w:val="21"/>
                  </w:rPr>
                  <m:t>提交分=</m:t>
                </m:r>
                <m:f>
                  <m:fPr>
                    <m:ctrlPr>
                      <w:rPr>
                        <w:rFonts w:ascii="Cambria Math" w:hAnsi="Cambria Math" w:eastAsia="宋体"/>
                        <w:szCs w:val="21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eastAsia="宋体" w:cs="宋体"/>
                        <w:color w:val="000000"/>
                        <w:szCs w:val="21"/>
                      </w:rPr>
                      <m:t>学院竞赛论文提交学生数</m:t>
                    </m:r>
                    <m:ctrlPr>
                      <w:rPr>
                        <w:rFonts w:ascii="Cambria Math" w:hAnsi="Cambria Math" w:eastAsia="宋体"/>
                        <w:szCs w:val="21"/>
                      </w:rPr>
                    </m:ctrlP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eastAsia="宋体" w:cs="宋体"/>
                        <w:color w:val="000000"/>
                        <w:szCs w:val="21"/>
                      </w:rPr>
                      <m:t>学院组织报名学生数</m:t>
                    </m:r>
                    <m:ctrlPr>
                      <w:rPr>
                        <w:rFonts w:ascii="Cambria Math" w:hAnsi="Cambria Math" w:eastAsia="宋体"/>
                        <w:szCs w:val="21"/>
                      </w:rPr>
                    </m:ctrlPr>
                  </m:den>
                </m:f>
                <m:r>
                  <m:rPr/>
                  <w:rPr>
                    <w:rFonts w:ascii="Cambria Math" w:hAnsi="Cambria Math" w:eastAsia="宋体"/>
                    <w:szCs w:val="21"/>
                  </w:rPr>
                  <m:t>3</m:t>
                </m:r>
                <m:r>
                  <m:rPr>
                    <m:sty m:val="p"/>
                  </m:rPr>
                  <w:rPr>
                    <w:rFonts w:ascii="Cambria Math" w:hAnsi="Cambria Math" w:eastAsia="宋体"/>
                    <w:szCs w:val="21"/>
                  </w:rPr>
                  <m:t>0%</m:t>
                </m:r>
              </m:oMath>
            </m:oMathPara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6" w:type="dxa"/>
            <w:vAlign w:val="center"/>
          </w:tcPr>
          <w:p>
            <w:pPr>
              <w:ind w:firstLine="170" w:firstLineChars="71"/>
              <w:jc w:val="center"/>
              <w:rPr>
                <w:rFonts w:ascii="宋体" w:hAnsi="宋体" w:eastAsia="宋体"/>
                <w:sz w:val="24"/>
                <w:szCs w:val="24"/>
                <w:vertAlign w:val="subscript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竞赛</w:t>
            </w:r>
            <w:r>
              <w:rPr>
                <w:rFonts w:ascii="宋体" w:hAnsi="宋体" w:eastAsia="宋体"/>
                <w:sz w:val="24"/>
                <w:szCs w:val="24"/>
              </w:rPr>
              <w:t>获奖X</w:t>
            </w:r>
            <w:r>
              <w:rPr>
                <w:rFonts w:ascii="宋体" w:hAnsi="宋体" w:eastAsia="宋体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6757" w:type="dxa"/>
          </w:tcPr>
          <w:p>
            <w:pPr>
              <w:rPr>
                <w:rFonts w:ascii="宋体" w:hAnsi="宋体" w:eastAsia="宋体"/>
                <w:szCs w:val="21"/>
              </w:rPr>
            </w:pPr>
            <m:oMathPara>
              <m:oMathParaPr>
                <m:jc m:val="center"/>
              </m:oMathParaPr>
              <m:oMath>
                <m:r>
                  <m:rPr>
                    <m:sty m:val="p"/>
                  </m:rPr>
                  <w:rPr>
                    <w:rFonts w:hint="eastAsia" w:ascii="Cambria Math" w:hAnsi="Cambria Math" w:eastAsia="宋体"/>
                    <w:szCs w:val="21"/>
                  </w:rPr>
                  <m:t>竞赛获奖分</m:t>
                </m:r>
                <m:r>
                  <m:rPr>
                    <m:sty m:val="p"/>
                  </m:rPr>
                  <w:rPr>
                    <w:rFonts w:ascii="Cambria Math" w:hAnsi="Cambria Math" w:eastAsia="宋体"/>
                    <w:szCs w:val="21"/>
                  </w:rPr>
                  <m:t>=</m:t>
                </m:r>
                <m:f>
                  <m:fPr>
                    <m:ctrlPr>
                      <w:rPr>
                        <w:rFonts w:ascii="Cambria Math" w:hAnsi="Cambria Math" w:eastAsia="宋体"/>
                        <w:szCs w:val="21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eastAsia="宋体" w:cs="宋体"/>
                        <w:color w:val="000000"/>
                        <w:szCs w:val="21"/>
                      </w:rPr>
                      <m:t>学院竞赛获奖学生数</m:t>
                    </m:r>
                    <m:ctrlPr>
                      <w:rPr>
                        <w:rFonts w:ascii="Cambria Math" w:hAnsi="Cambria Math" w:eastAsia="宋体"/>
                        <w:szCs w:val="21"/>
                      </w:rPr>
                    </m:ctrlP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eastAsia="宋体" w:cs="宋体"/>
                        <w:color w:val="000000"/>
                        <w:szCs w:val="21"/>
                      </w:rPr>
                      <m:t>学院组织报名学生数</m:t>
                    </m:r>
                    <m:ctrlPr>
                      <w:rPr>
                        <w:rFonts w:ascii="Cambria Math" w:hAnsi="Cambria Math" w:eastAsia="宋体"/>
                        <w:szCs w:val="21"/>
                      </w:rPr>
                    </m:ctrlPr>
                  </m:den>
                </m:f>
                <m:r>
                  <m:rPr/>
                  <w:rPr>
                    <w:rFonts w:ascii="Cambria Math" w:hAnsi="Cambria Math" w:eastAsia="宋体"/>
                    <w:szCs w:val="21"/>
                  </w:rPr>
                  <m:t>40%</m:t>
                </m:r>
              </m:oMath>
            </m:oMathPara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6" w:type="dxa"/>
            <w:vAlign w:val="center"/>
          </w:tcPr>
          <w:p>
            <w:pPr>
              <w:ind w:firstLine="170" w:firstLineChars="71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总分</w:t>
            </w:r>
            <w:r>
              <w:rPr>
                <w:rFonts w:ascii="宋体" w:hAnsi="宋体" w:eastAsia="宋体"/>
                <w:sz w:val="24"/>
                <w:szCs w:val="24"/>
              </w:rPr>
              <w:t>X</w:t>
            </w:r>
          </w:p>
        </w:tc>
        <w:tc>
          <w:tcPr>
            <w:tcW w:w="6757" w:type="dxa"/>
            <w:vAlign w:val="center"/>
          </w:tcPr>
          <w:p>
            <w:pPr>
              <w:autoSpaceDE w:val="0"/>
              <w:autoSpaceDN w:val="0"/>
              <w:ind w:firstLine="692"/>
              <w:jc w:val="center"/>
              <w:rPr>
                <w:rFonts w:ascii="宋体" w:hAnsi="宋体" w:eastAsia="宋体"/>
                <w:color w:val="000000"/>
                <w:sz w:val="30"/>
                <w:vertAlign w:val="subscript"/>
              </w:rPr>
            </w:pPr>
            <w:r>
              <w:rPr>
                <w:rFonts w:ascii="宋体" w:hAnsi="宋体" w:eastAsia="宋体"/>
                <w:color w:val="000000"/>
                <w:spacing w:val="23"/>
                <w:sz w:val="30"/>
              </w:rPr>
              <w:t>X=X</w:t>
            </w:r>
            <w:r>
              <w:rPr>
                <w:rFonts w:ascii="宋体" w:hAnsi="宋体" w:eastAsia="宋体"/>
                <w:color w:val="000000"/>
                <w:spacing w:val="23"/>
                <w:sz w:val="30"/>
                <w:vertAlign w:val="subscript"/>
              </w:rPr>
              <w:t>1</w:t>
            </w:r>
            <w:r>
              <w:rPr>
                <w:rFonts w:ascii="宋体" w:hAnsi="宋体" w:eastAsia="宋体"/>
                <w:color w:val="000000"/>
                <w:spacing w:val="23"/>
                <w:sz w:val="30"/>
              </w:rPr>
              <w:t>+X</w:t>
            </w:r>
            <w:r>
              <w:rPr>
                <w:rFonts w:ascii="宋体" w:hAnsi="宋体" w:eastAsia="宋体"/>
                <w:color w:val="000000"/>
                <w:spacing w:val="23"/>
                <w:sz w:val="30"/>
                <w:vertAlign w:val="subscript"/>
              </w:rPr>
              <w:t>2</w:t>
            </w:r>
            <w:r>
              <w:rPr>
                <w:rFonts w:ascii="宋体" w:hAnsi="宋体" w:eastAsia="宋体"/>
                <w:color w:val="000000"/>
                <w:spacing w:val="23"/>
                <w:sz w:val="30"/>
              </w:rPr>
              <w:t>+X</w:t>
            </w:r>
            <w:r>
              <w:rPr>
                <w:rFonts w:ascii="宋体" w:hAnsi="宋体" w:eastAsia="宋体"/>
                <w:color w:val="000000"/>
                <w:spacing w:val="23"/>
                <w:sz w:val="30"/>
                <w:vertAlign w:val="subscript"/>
              </w:rPr>
              <w:t>3</w:t>
            </w:r>
          </w:p>
        </w:tc>
      </w:tr>
    </w:tbl>
    <w:p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四、评选办法</w:t>
      </w:r>
    </w:p>
    <w:p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凡符合评选条件的学院均可参加评选最佳组织单位奖，按各学院总分高低评选 2 个最佳组织单位奖。</w:t>
      </w:r>
    </w:p>
    <w:p>
      <w:pPr>
        <w:spacing w:line="360" w:lineRule="auto"/>
        <w:ind w:firstLine="480" w:firstLineChars="200"/>
        <w:rPr>
          <w:rFonts w:ascii="AHVJSQ+FZFSK--GBK1-0" w:hAnsi="AHVJSQ+FZFSK--GBK1-0" w:cs="AHVJSQ+FZFSK--GBK1-0"/>
          <w:color w:val="000000"/>
        </w:rPr>
      </w:pPr>
      <w:r>
        <w:rPr>
          <w:rFonts w:ascii="宋体" w:hAnsi="宋体" w:eastAsia="宋体"/>
          <w:sz w:val="24"/>
          <w:szCs w:val="24"/>
        </w:rPr>
        <w:t>五、未尽事宜由竞赛组委会讨论决定。</w:t>
      </w:r>
    </w:p>
    <w:p>
      <w:pPr>
        <w:widowControl/>
        <w:jc w:val="left"/>
        <w:rPr>
          <w:rFonts w:ascii="宋体" w:hAnsi="宋体" w:eastAsia="宋体" w:cs="仿宋_GB2312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ETAFFC+FZXBSK--GBK1-0">
    <w:altName w:val="Segoe Print"/>
    <w:panose1 w:val="00000000000000000000"/>
    <w:charset w:val="01"/>
    <w:family w:val="modern"/>
    <w:pitch w:val="default"/>
    <w:sig w:usb0="00000000" w:usb1="00000000" w:usb2="01010101" w:usb3="01010101" w:csb0="01010101" w:csb1="01010101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HVJSQ+FZFSK--GBK1-0">
    <w:altName w:val="Segoe Print"/>
    <w:panose1 w:val="00000000000000000000"/>
    <w:charset w:val="01"/>
    <w:family w:val="modern"/>
    <w:pitch w:val="default"/>
    <w:sig w:usb0="00000000" w:usb1="00000000" w:usb2="01010101" w:usb3="01010101" w:csb0="01010101" w:csb1="01010101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9FE4FFF"/>
    <w:multiLevelType w:val="multilevel"/>
    <w:tmpl w:val="19FE4FFF"/>
    <w:lvl w:ilvl="0" w:tentative="0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Q2MzY1ZTFkMmVmNDg3ODk3OTU5MTA4OWNlYzFiZDIifQ=="/>
  </w:docVars>
  <w:rsids>
    <w:rsidRoot w:val="00712EC6"/>
    <w:rsid w:val="00234458"/>
    <w:rsid w:val="00605FC8"/>
    <w:rsid w:val="006874BA"/>
    <w:rsid w:val="00712EC6"/>
    <w:rsid w:val="00B25782"/>
    <w:rsid w:val="00BE4098"/>
    <w:rsid w:val="00F27F8D"/>
    <w:rsid w:val="00F323B7"/>
    <w:rsid w:val="69836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9">
    <w:name w:val="页眉 字符"/>
    <w:basedOn w:val="7"/>
    <w:link w:val="3"/>
    <w:autoRedefine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71</Words>
  <Characters>408</Characters>
  <Lines>3</Lines>
  <Paragraphs>1</Paragraphs>
  <TotalTime>2</TotalTime>
  <ScaleCrop>false</ScaleCrop>
  <LinksUpToDate>false</LinksUpToDate>
  <CharactersWithSpaces>478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2024-05-09T06:33:00Z</dcterms:created>
  <dc:creator>1511361872@qq.com</dc:creator>
  <cp:lastModifiedBy>大以巴蓝</cp:lastModifiedBy>
  <dcterms:modified xsi:type="dcterms:W3CDTF">2024-05-11T02:45:05Z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648E1984849B4E938F639C6B38C5C1BA_12</vt:lpwstr>
  </property>
</Properties>
</file>