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E0C6C">
      <w:pPr>
        <w:spacing w:before="156" w:beforeLines="50" w:after="156" w:afterLines="50" w:line="4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2026年度广西科学技术进步奖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提名</w:t>
      </w:r>
      <w:r>
        <w:rPr>
          <w:rFonts w:eastAsia="方正小标宋简体"/>
          <w:bCs/>
          <w:sz w:val="44"/>
          <w:szCs w:val="44"/>
        </w:rPr>
        <w:t>公示信息</w:t>
      </w:r>
    </w:p>
    <w:tbl>
      <w:tblPr>
        <w:tblStyle w:val="10"/>
        <w:tblW w:w="14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5954"/>
        <w:gridCol w:w="1417"/>
        <w:gridCol w:w="4795"/>
      </w:tblGrid>
      <w:tr w14:paraId="7EAE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395F46E1">
            <w:pPr>
              <w:spacing w:line="36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166" w:type="dxa"/>
            <w:gridSpan w:val="3"/>
            <w:shd w:val="clear" w:color="auto" w:fill="auto"/>
            <w:vAlign w:val="center"/>
          </w:tcPr>
          <w:p w14:paraId="172EEFB2">
            <w:pPr>
              <w:spacing w:line="360" w:lineRule="exact"/>
              <w:ind w:firstLine="480" w:firstLineChars="200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Cs/>
                <w:kern w:val="0"/>
                <w:sz w:val="24"/>
                <w:szCs w:val="24"/>
              </w:rPr>
              <w:t>高性能集成光波导的显示关键技术及产业化应用</w:t>
            </w:r>
          </w:p>
        </w:tc>
      </w:tr>
      <w:tr w14:paraId="5B59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1" w:hRule="atLeast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7D87CB41">
            <w:pPr>
              <w:spacing w:line="36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提名单位/提名专家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D8D6E94">
            <w:pPr>
              <w:spacing w:line="360" w:lineRule="exact"/>
              <w:ind w:firstLine="480" w:firstLineChars="200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snapToGrid w:val="0"/>
                <w:color w:val="000000"/>
                <w:sz w:val="24"/>
                <w:szCs w:val="24"/>
              </w:rPr>
              <w:t>郭桂蓉（院士）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D8083F">
            <w:pPr>
              <w:spacing w:line="40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提名等级</w:t>
            </w:r>
          </w:p>
        </w:tc>
        <w:tc>
          <w:tcPr>
            <w:tcW w:w="4795" w:type="dxa"/>
            <w:shd w:val="clear" w:color="auto" w:fill="auto"/>
            <w:vAlign w:val="center"/>
          </w:tcPr>
          <w:p w14:paraId="1BC1229E">
            <w:pPr>
              <w:spacing w:line="360" w:lineRule="exact"/>
              <w:ind w:firstLine="480" w:firstLineChars="200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一等奖、二等奖</w:t>
            </w:r>
          </w:p>
        </w:tc>
      </w:tr>
      <w:tr w14:paraId="17A2A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209BC46C">
            <w:pPr>
              <w:spacing w:line="36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候选个人</w:t>
            </w:r>
          </w:p>
        </w:tc>
        <w:tc>
          <w:tcPr>
            <w:tcW w:w="12166" w:type="dxa"/>
            <w:gridSpan w:val="3"/>
            <w:shd w:val="clear" w:color="auto" w:fill="auto"/>
            <w:vAlign w:val="center"/>
          </w:tcPr>
          <w:p w14:paraId="12CB2DA4">
            <w:pPr>
              <w:spacing w:line="36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Cs/>
                <w:kern w:val="0"/>
                <w:sz w:val="24"/>
                <w:szCs w:val="24"/>
              </w:rPr>
              <w:t>朱君、秦运柏、孙圣、徐庆富、周毅、何家雄、谭邓宏、薛炎、赵中华、胡文田</w:t>
            </w:r>
          </w:p>
        </w:tc>
      </w:tr>
      <w:tr w14:paraId="5C468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57025250">
            <w:pPr>
              <w:spacing w:line="36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候选组织</w:t>
            </w:r>
          </w:p>
        </w:tc>
        <w:tc>
          <w:tcPr>
            <w:tcW w:w="12166" w:type="dxa"/>
            <w:gridSpan w:val="3"/>
            <w:shd w:val="clear" w:color="auto" w:fill="auto"/>
            <w:vAlign w:val="center"/>
          </w:tcPr>
          <w:p w14:paraId="0F1CBB34">
            <w:pPr>
              <w:spacing w:line="36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Cs/>
                <w:kern w:val="0"/>
                <w:sz w:val="24"/>
                <w:szCs w:val="24"/>
              </w:rPr>
              <w:t>广西师范大学、深圳市芯视佳半导体科技有限公司、广西北投数字科技产业有限公司、深圳职业技术大学、桂林电子科技大学、广西弘远电子有限公司</w:t>
            </w:r>
          </w:p>
        </w:tc>
      </w:tr>
      <w:tr w14:paraId="4A57E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8" w:hRule="atLeast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17FD9CDF">
            <w:pPr>
              <w:spacing w:line="400" w:lineRule="exact"/>
              <w:jc w:val="center"/>
              <w:rPr>
                <w:rFonts w:eastAsia="仿宋"/>
                <w:b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kern w:val="0"/>
                <w:sz w:val="24"/>
                <w:szCs w:val="24"/>
              </w:rPr>
              <w:t>项目简介</w:t>
            </w:r>
          </w:p>
        </w:tc>
        <w:tc>
          <w:tcPr>
            <w:tcW w:w="12166" w:type="dxa"/>
            <w:gridSpan w:val="3"/>
            <w:shd w:val="clear" w:color="auto" w:fill="auto"/>
            <w:vAlign w:val="center"/>
          </w:tcPr>
          <w:p w14:paraId="7777CF48">
            <w:pPr>
              <w:spacing w:line="360" w:lineRule="exact"/>
              <w:jc w:val="both"/>
              <w:rPr>
                <w:rFonts w:eastAsia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kern w:val="0"/>
                <w:sz w:val="24"/>
                <w:szCs w:val="24"/>
              </w:rPr>
              <w:t>高性能集成光波导显示技术是支撑增强现实近眼显示、高端智能显示及新型光电信息产业发展的关键技术。面向下一代智能终端对高亮度、大视场、低功耗、高可靠显示的需求，针对传统光波导显示系统存在光耦合效率低、光场调控能力不足、显示一致性差、功耗高及复杂环境适应性不足等瓶颈，项目围绕“高光效、宽光谱、低功耗、高稳定性”目标，突破集成光波导结构设计、异构光场调控、高性能驱动、先进封装及系统集成等关键技术，构建“光学器件—驱动控制—封装模组—系统应用”的全链条自主创新技术体系。</w:t>
            </w:r>
          </w:p>
        </w:tc>
      </w:tr>
    </w:tbl>
    <w:p w14:paraId="67872809">
      <w:pPr>
        <w:jc w:val="center"/>
        <w:rPr>
          <w:rFonts w:eastAsia="黑体"/>
          <w:snapToGrid w:val="0"/>
          <w:color w:val="000000"/>
          <w:sz w:val="28"/>
          <w:szCs w:val="28"/>
        </w:rPr>
      </w:pPr>
    </w:p>
    <w:p w14:paraId="14E6F2BF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eastAsia="仿宋"/>
          <w:b/>
          <w:bCs/>
        </w:rPr>
        <w:t>一、</w:t>
      </w:r>
      <w:r>
        <w:rPr>
          <w:rFonts w:hint="eastAsia" w:ascii="Times New Roman" w:eastAsia="黑体"/>
          <w:b/>
          <w:sz w:val="24"/>
        </w:rPr>
        <w:t>主要知识产权和标准规范目录（不超过12件）</w:t>
      </w:r>
    </w:p>
    <w:p w14:paraId="3DEB3074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（适用于产业创新类、社会公益类）</w:t>
      </w:r>
    </w:p>
    <w:tbl>
      <w:tblPr>
        <w:tblStyle w:val="10"/>
        <w:tblW w:w="15097" w:type="dxa"/>
        <w:jc w:val="center"/>
        <w:tblBorders>
          <w:top w:val="none" w:color="auto" w:sz="8" w:space="0"/>
          <w:left w:val="none" w:color="auto" w:sz="8" w:space="0"/>
          <w:bottom w:val="none" w:color="auto" w:sz="8" w:space="0"/>
          <w:right w:val="none" w:color="auto" w:sz="8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661"/>
        <w:gridCol w:w="1986"/>
        <w:gridCol w:w="2665"/>
        <w:gridCol w:w="1572"/>
        <w:gridCol w:w="2505"/>
        <w:gridCol w:w="2959"/>
        <w:gridCol w:w="697"/>
        <w:gridCol w:w="1030"/>
        <w:gridCol w:w="584"/>
      </w:tblGrid>
      <w:tr w14:paraId="4765C4D5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3E0760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排序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D8E687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E68171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成果名称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551D6A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编号（年卷页；版号）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E241FA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授权发布日期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7A4D79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完成人（作者）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5F1B97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完成单位（署名单位）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CCE113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授权发布部门</w:t>
            </w:r>
          </w:p>
          <w:p w14:paraId="0AA1BED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（刊名）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B7AE80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成果状态</w:t>
            </w:r>
          </w:p>
          <w:p w14:paraId="5FF23F6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（通讯作者）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756B29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b/>
                <w:snapToGrid w:val="0"/>
                <w:sz w:val="18"/>
                <w:szCs w:val="18"/>
              </w:rPr>
              <w:t>广西单位是否原始署名</w:t>
            </w:r>
          </w:p>
        </w:tc>
      </w:tr>
      <w:tr w14:paraId="3B7E217F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F50509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480F78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16DEA1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光波导结构、AR设备及光波导结构的制作方法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6AEF3A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ZL202110243773.2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D43A99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2023/01/20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1C6F24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请求不公开（朱君、孙圣等）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9770D6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深圳市芯视佳半导体科技有限公司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C883CF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B03D98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100D3E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否</w:t>
            </w:r>
          </w:p>
        </w:tc>
      </w:tr>
      <w:tr w14:paraId="1A5CF88B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B6A802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FC3931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CEFA0C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一种微显示器结构及其制作方法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FF85CB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ZL202110431761.2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60ACC8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2022/08/16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7541E6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请求不公开（朱君、孙圣等）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11FD97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深圳市芯视佳半导体科技有限公司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DE7A2D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A5E294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962849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否</w:t>
            </w:r>
          </w:p>
        </w:tc>
      </w:tr>
      <w:tr w14:paraId="5A092DFC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10D4B0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9A1801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2533E3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一种硅基OLED微显示器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DD221D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</w:rPr>
              <w:t>ZL202510017896.2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54ADB4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</w:rPr>
              <w:t>2025/11/28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437566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吴虹羽；薛炎；郭力；曾启明；欧阳嘉嘉；欧阳枝煌；赵黎崇；温泉；胡慧婷；段博文；唐深瑶；陈杰；吴慧娴；于枫；谭小晴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404EF2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深圳职业技术大学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FD6EA5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BC733F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160C2C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否</w:t>
            </w:r>
          </w:p>
        </w:tc>
      </w:tr>
      <w:tr w14:paraId="4129AA43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7DF172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ascii="Times New Roman" w:hAnsi="Times New Roman" w:eastAsia="仿宋_GB2312"/>
                <w:sz w:val="3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AEA0A8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计算机软件著作权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1F4186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波导显示结构工艺与性能匹配系统 V1.0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845C25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2026SR0640704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72557B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2026/06/03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A0B975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snapToGrid w:val="0"/>
                <w:sz w:val="32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_GB2312"/>
                <w:sz w:val="32"/>
              </w:rPr>
              <w:t>朱君、秦运柏、孙圣、徐庆富、周毅、何家雄、谭邓宏、冯云、胡文田、薛炎</w:t>
            </w:r>
            <w:r>
              <w:rPr>
                <w:rFonts w:hint="eastAsia" w:ascii="Times New Roman" w:hAnsi="Times New Roman" w:eastAsia="仿宋_GB2312"/>
                <w:sz w:val="3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76F54B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广西师范大学；深圳市芯视佳半导体科技有限公司；广西北投数字科技产业有限公司；广西弘远电子有限公司；桂林量具刃具有限责任公司；深圳职业技术大学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553B23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中国版权保护中心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A46582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288762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6AC6F259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B55B45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28C1A7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6F454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一种基于microbit技术的智能硬件小车教具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0570FA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ZL202110448693.0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C1103F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2022/10/04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0AE6BE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徐庆富；何刚；黄竞辉；欧亮杰；王鸿宇；叶东汶；李军钦；范嘉晨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D8C33E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E12846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F86D8C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788494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1585E3B7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61565C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BF2892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98E58D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一种用于显示屏的温度监测及调节方法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E69318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ZL202411218769.0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440067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2025/03/25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6FA1BD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胡文田；杨晓容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2A8855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广西弘远电子有限公司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7805D3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FFDA0F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CE1500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62C51EC0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A26B0B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D89835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C16200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一种具备温度传感的可调谐表面等离子波导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187BD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ZL201810261653.3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5AEE9D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2024/02/27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297EF3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朱君；徐政杰；傅得立；秦柳丽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78392D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447156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EC8DB3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已授权；已转化15万元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9EDEC0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26A2CE75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4C3D69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B70C8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A2FDF7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一种光栅结构的铌酸锂-金-铌酸锂表面等离子激元温度传感装置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FA09C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ZL201510401844.1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416BB2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2019/04/23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4BED6F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朱君；秦柳丽；宋树祥；傅得立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E11C41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871722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E70CAC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6145D0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2FE562C6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25490F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0DE511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发明专利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35F329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一种基于边缘端设备的裂痕检测方法及系统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375C08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ZL202411647219.0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6158FD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2024/11/18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50B456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梁广怀；秦运柏；王龙林；梁海玲；王希瑞；卓小丽；朱君；</w:t>
            </w:r>
          </w:p>
          <w:p w14:paraId="453A6640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32"/>
              </w:rPr>
            </w:pPr>
            <w:r>
              <w:rPr>
                <w:rFonts w:ascii="Times New Roman" w:eastAsia="仿宋_GB2312" w:cstheme="minorBidi"/>
                <w:color w:val="auto"/>
                <w:kern w:val="2"/>
                <w:sz w:val="32"/>
              </w:rPr>
              <w:t>唐荣江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C56FD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2885B1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28C4D9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已授权，转化20万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F153AD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293816D1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841B7C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C354C5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实用新型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3BDFAF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一种灾害警示报警终端机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51EEB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ZL202520243024.3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44078B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2025/11/21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862E25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李俊毅；王华；周毅；谭邓宏；何家雄；钟昆；黄凯楠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491D46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广西交科集团有限公司；广西北投数字科技产业有限公司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98D96F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7E5094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8A28FB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7379E5CE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7D013B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491FBE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实用新型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F796FE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一种基于表面等离子体能提高LED发光效率的装置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0C710D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ZL202122172637.7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FDCED3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2022/02/11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985B8F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邓春兰；朱君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A15AEF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CE67F1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1A6804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0B94055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175651E9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67204A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F29350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实用新型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E4873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基于表面等离子波导的新型发光二极管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5C24270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ZL201720581389.2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71F99CC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2017/12/15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000F78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徐汶菊；朱君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1023EF1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广西师范大学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4D9866C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国家知识产权局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6AAAB75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已授权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3247FAB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 w:cs="Times New Roman"/>
                <w:snapToGrid w:val="0"/>
                <w:sz w:val="32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</w:rPr>
              <w:t>是</w:t>
            </w:r>
          </w:p>
        </w:tc>
      </w:tr>
      <w:tr w14:paraId="3BDD28E5">
        <w:tblPrEx>
          <w:tblBorders>
            <w:top w:val="none" w:color="auto" w:sz="8" w:space="0"/>
            <w:left w:val="none" w:color="auto" w:sz="8" w:space="0"/>
            <w:bottom w:val="none" w:color="auto" w:sz="8" w:space="0"/>
            <w:right w:val="none" w:color="auto" w:sz="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311" w:type="dxa"/>
          <w:trHeight w:val="0" w:hRule="atLeast"/>
          <w:jc w:val="center"/>
        </w:trPr>
        <w:tc>
          <w:tcPr>
            <w:tcW w:w="12786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57" w:type="dxa"/>
              <w:bottom w:w="-1" w:type="dxa"/>
              <w:right w:w="57" w:type="dxa"/>
            </w:tcMar>
            <w:vAlign w:val="center"/>
          </w:tcPr>
          <w:p w14:paraId="250EC28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“主要知识产权和标准规范”中广西单位是原始完成人、起草人的占比</w:t>
            </w:r>
          </w:p>
        </w:tc>
      </w:tr>
    </w:tbl>
    <w:p w14:paraId="7E420CC9">
      <w:pPr>
        <w:rPr>
          <w:rFonts w:eastAsia="仿宋"/>
          <w:b/>
          <w:bCs/>
        </w:rPr>
      </w:pPr>
    </w:p>
    <w:p w14:paraId="7D62B600">
      <w:pPr>
        <w:jc w:val="center"/>
        <w:rPr>
          <w:rFonts w:eastAsia="仿宋"/>
          <w:b/>
          <w:bCs/>
        </w:rPr>
      </w:pPr>
      <w:r>
        <w:rPr>
          <w:rFonts w:eastAsia="仿宋"/>
          <w:b/>
          <w:bCs/>
        </w:rPr>
        <w:t>二、候选个人合作情况</w:t>
      </w:r>
    </w:p>
    <w:tbl>
      <w:tblPr>
        <w:tblStyle w:val="11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5"/>
      </w:tblGrid>
      <w:tr w14:paraId="766D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</w:trPr>
        <w:tc>
          <w:tcPr>
            <w:tcW w:w="14095" w:type="dxa"/>
          </w:tcPr>
          <w:p w14:paraId="4EED1CC7">
            <w:pPr>
              <w:widowControl w:val="0"/>
              <w:adjustRightInd w:val="0"/>
              <w:snapToGrid w:val="0"/>
              <w:spacing w:line="406" w:lineRule="exact"/>
              <w:jc w:val="center"/>
              <w:rPr>
                <w:rFonts w:eastAsia="方正黑体_GBK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黑体_GBK"/>
                <w:snapToGrid w:val="0"/>
                <w:color w:val="000000"/>
                <w:kern w:val="0"/>
                <w:sz w:val="28"/>
                <w:szCs w:val="28"/>
              </w:rPr>
              <w:t>候选个人合作关系说明</w:t>
            </w:r>
          </w:p>
          <w:p w14:paraId="7975E504">
            <w:pPr>
              <w:widowControl w:val="0"/>
              <w:adjustRightInd w:val="0"/>
              <w:snapToGrid w:val="0"/>
              <w:spacing w:line="406" w:lineRule="exact"/>
              <w:jc w:val="center"/>
              <w:rPr>
                <w:rFonts w:eastAsia="方正黑体_GBK"/>
                <w:snapToGrid w:val="0"/>
                <w:color w:val="000000"/>
                <w:kern w:val="0"/>
                <w:sz w:val="28"/>
                <w:szCs w:val="28"/>
              </w:rPr>
            </w:pPr>
          </w:p>
          <w:p w14:paraId="636E5754">
            <w:pPr>
              <w:spacing w:line="360" w:lineRule="auto"/>
              <w:ind w:firstLine="640" w:firstLineChars="200"/>
              <w:rPr>
                <w:rFonts w:hint="eastAsia" w:ascii="Times New Roman"/>
                <w:snapToGrid w:val="0"/>
                <w:color w:val="000000"/>
                <w:szCs w:val="21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本成果由第一完成人朱君牵头，联合深圳市芯视佳半导体科技有限公司等5家单位的9位完成人共同完成。10位候选个人围绕“高性能集成光波导的显示关键技术及产业化应用”开展了长期的产学研用跨单位合作。具体合作情况如下：</w:t>
            </w:r>
          </w:p>
          <w:p w14:paraId="181785A7">
            <w:pPr>
              <w:spacing w:line="360" w:lineRule="auto"/>
              <w:ind w:firstLine="640" w:firstLineChars="200"/>
              <w:rPr>
                <w:rFonts w:hint="eastAsia" w:ascii="Times New Roman"/>
                <w:snapToGrid w:val="0"/>
                <w:color w:val="000000"/>
                <w:szCs w:val="21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朱君、秦运柏、徐庆富作为广西师范大学项目组核心成员，在项目执行期内进行了长期合作，共同承担了国家级、省部级及市厅级科研项目（见成果来源1、2、3）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,合作发表了多篇论文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。</w:t>
            </w:r>
          </w:p>
          <w:p w14:paraId="5F558572">
            <w:pPr>
              <w:spacing w:line="360" w:lineRule="auto"/>
              <w:ind w:firstLine="640" w:firstLineChars="200"/>
              <w:rPr>
                <w:rFonts w:hint="eastAsia" w:ascii="Times New Roman"/>
                <w:snapToGrid w:val="0"/>
                <w:color w:val="000000"/>
                <w:szCs w:val="21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朱君与企业完成人孙圣通过技术合作，获得了2项微显示领域国家发明专利（见附件1-1、1-4）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承担了省部级及市厅级</w:t>
            </w:r>
            <w:r>
              <w:rPr>
                <w:rFonts w:hint="eastAsia"/>
                <w:snapToGrid w:val="0"/>
                <w:color w:val="000000"/>
                <w:szCs w:val="21"/>
                <w:lang w:val="en-US" w:eastAsia="zh-CN"/>
              </w:rPr>
              <w:t>科技计划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项目</w:t>
            </w:r>
            <w:r>
              <w:rPr>
                <w:rFonts w:hint="eastAsia"/>
                <w:snapToGrid w:val="0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联合进行技术开发多项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。</w:t>
            </w:r>
          </w:p>
          <w:p w14:paraId="79009D72">
            <w:pPr>
              <w:spacing w:line="360" w:lineRule="auto"/>
              <w:ind w:firstLine="640" w:firstLineChars="200"/>
              <w:rPr>
                <w:rFonts w:hint="eastAsia" w:ascii="Times New Roman"/>
                <w:snapToGrid w:val="0"/>
                <w:color w:val="000000"/>
                <w:szCs w:val="21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朱君、秦运柏、徐庆富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与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周毅、何家雄、谭邓宏、薛炎、胡文田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等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完成人，联合开展光波导工艺匹配系统开发，共同获得了1项核心计算机软件著作权（见附件1-3）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承担了省部级及市厅级</w:t>
            </w:r>
            <w:r>
              <w:rPr>
                <w:rFonts w:hint="eastAsia"/>
                <w:snapToGrid w:val="0"/>
                <w:color w:val="000000"/>
                <w:szCs w:val="21"/>
                <w:lang w:val="en-US" w:eastAsia="zh-CN"/>
              </w:rPr>
              <w:t>科技计划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项目</w:t>
            </w:r>
            <w:r>
              <w:rPr>
                <w:rFonts w:hint="eastAsia"/>
                <w:snapToGrid w:val="0"/>
                <w:color w:val="000000"/>
                <w:szCs w:val="21"/>
                <w:lang w:eastAsia="zh-CN"/>
              </w:rPr>
              <w:t>，</w:t>
            </w:r>
            <w:bookmarkStart w:id="0" w:name="_GoBack"/>
            <w:bookmarkEnd w:id="0"/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将显示在各自企业实现了产业化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。</w:t>
            </w:r>
          </w:p>
          <w:p w14:paraId="0D3AE2E2">
            <w:pPr>
              <w:spacing w:line="360" w:lineRule="auto"/>
              <w:ind w:firstLine="640" w:firstLineChars="200"/>
              <w:rPr>
                <w:rFonts w:hint="default" w:ascii="Times New Roman" w:eastAsiaTheme="minorEastAsia"/>
                <w:snapToGrid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薛炎获得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eastAsia="zh-CN"/>
              </w:rPr>
              <w:t>的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《一种硅基OLED微显示器》发明专利（见附件1-2）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徐庆富获得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eastAsia="zh-CN"/>
              </w:rPr>
              <w:t>的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智能硬件教具发明专利（见附件1-5）胡文田获得了显示屏温度调节发明专利（见附件1-6）；周毅、何家雄、谭邓宏共同获得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《一种灾害警示报警终端机》实用新型专利（见附件1-10）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与朱君实现了企业的产业化应用与技术迭代，也同时实现了很好的社会效益。</w:t>
            </w:r>
          </w:p>
          <w:p w14:paraId="14A14845">
            <w:pPr>
              <w:spacing w:line="360" w:lineRule="auto"/>
              <w:ind w:firstLine="640" w:firstLineChars="200"/>
              <w:rPr>
                <w:rFonts w:hint="eastAsia" w:ascii="Times New Roman"/>
                <w:snapToGrid w:val="0"/>
                <w:color w:val="000000"/>
                <w:szCs w:val="21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赵中华作为桂林电子科技大学的系统测试评价专家，与朱君、徐庆富通过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与广西弘远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联合技术开发合同，完成了项目核心技术的性能评估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成果评价</w:t>
            </w:r>
            <w:r>
              <w:rPr>
                <w:rFonts w:hint="eastAsia" w:ascii="Times New Roman"/>
                <w:snapToGrid w:val="0"/>
                <w:color w:val="000000"/>
                <w:szCs w:val="21"/>
                <w:lang w:val="en-US" w:eastAsia="zh-CN"/>
              </w:rPr>
              <w:t>及相应技术产业化</w:t>
            </w:r>
            <w:r>
              <w:rPr>
                <w:rFonts w:hint="eastAsia" w:ascii="Times New Roman"/>
                <w:snapToGrid w:val="0"/>
                <w:color w:val="000000"/>
                <w:szCs w:val="21"/>
              </w:rPr>
              <w:t>（见附件7-1）。</w:t>
            </w:r>
          </w:p>
          <w:p w14:paraId="52AADD07">
            <w:pPr>
              <w:spacing w:line="360" w:lineRule="auto"/>
              <w:ind w:firstLine="640" w:firstLineChars="200"/>
              <w:rPr>
                <w:rFonts w:hint="eastAsia" w:ascii="Times New Roman"/>
                <w:snapToGrid w:val="0"/>
                <w:color w:val="000000"/>
                <w:szCs w:val="21"/>
              </w:rPr>
            </w:pPr>
            <w:r>
              <w:rPr>
                <w:rFonts w:hint="eastAsia" w:ascii="Times New Roman"/>
                <w:snapToGrid w:val="0"/>
                <w:color w:val="000000"/>
                <w:szCs w:val="21"/>
              </w:rPr>
              <w:t>综上，10位候选个人通过共同承担科研项目、联合申请知识产权及合作开展成果评价，形成了稳定紧密的协同创新合作关系。</w:t>
            </w:r>
          </w:p>
          <w:p w14:paraId="0E1DC02F">
            <w:pPr>
              <w:widowControl w:val="0"/>
              <w:adjustRightInd w:val="0"/>
              <w:snapToGrid w:val="0"/>
              <w:spacing w:line="406" w:lineRule="exact"/>
              <w:ind w:firstLine="560" w:firstLineChars="200"/>
              <w:jc w:val="both"/>
              <w:rPr>
                <w:rFonts w:eastAsia="方正仿宋_GBK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A6511CB">
      <w:pPr>
        <w:adjustRightInd w:val="0"/>
        <w:snapToGrid w:val="0"/>
        <w:spacing w:line="406" w:lineRule="exact"/>
        <w:jc w:val="center"/>
        <w:rPr>
          <w:rFonts w:eastAsia="黑体"/>
          <w:snapToGrid w:val="0"/>
          <w:color w:val="000000"/>
          <w:sz w:val="28"/>
          <w:szCs w:val="28"/>
        </w:rPr>
      </w:pPr>
    </w:p>
    <w:p w14:paraId="6335B054">
      <w:pPr>
        <w:adjustRightInd w:val="0"/>
        <w:snapToGrid w:val="0"/>
        <w:spacing w:line="406" w:lineRule="exact"/>
        <w:jc w:val="center"/>
        <w:rPr>
          <w:rFonts w:eastAsia="黑体"/>
          <w:snapToGrid w:val="0"/>
          <w:color w:val="000000"/>
          <w:sz w:val="28"/>
          <w:szCs w:val="28"/>
        </w:rPr>
      </w:pPr>
    </w:p>
    <w:p w14:paraId="60D15FB6">
      <w:pPr>
        <w:rPr>
          <w:rFonts w:eastAsia="黑体"/>
          <w:snapToGrid w:val="0"/>
          <w:color w:val="000000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20D"/>
    <w:rsid w:val="000535E9"/>
    <w:rsid w:val="0025020D"/>
    <w:rsid w:val="004F2D8C"/>
    <w:rsid w:val="15ED104A"/>
    <w:rsid w:val="340A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6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ascii="Cambria" w:hAnsi="Cambria" w:eastAsia="宋体" w:cs="宋体"/>
      <w:b/>
      <w:bCs/>
      <w:szCs w:val="32"/>
    </w:rPr>
  </w:style>
  <w:style w:type="paragraph" w:styleId="5">
    <w:name w:val="heading 3"/>
    <w:basedOn w:val="1"/>
    <w:link w:val="21"/>
    <w:unhideWhenUsed/>
    <w:qFormat/>
    <w:uiPriority w:val="9"/>
    <w:pPr>
      <w:spacing w:before="100" w:beforeAutospacing="1" w:after="100" w:afterAutospacing="1" w:line="240" w:lineRule="auto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6">
    <w:name w:val="Plain Text"/>
    <w:basedOn w:val="1"/>
    <w:link w:val="16"/>
    <w:qFormat/>
    <w:uiPriority w:val="99"/>
    <w:pPr>
      <w:widowControl w:val="0"/>
      <w:spacing w:line="360" w:lineRule="auto"/>
      <w:ind w:firstLine="480" w:firstLineChars="200"/>
      <w:jc w:val="both"/>
    </w:pPr>
    <w:rPr>
      <w:rFonts w:hint="eastAsia" w:ascii="仿宋_GB2312" w:eastAsia="宋体"/>
      <w:sz w:val="24"/>
      <w:szCs w:val="20"/>
    </w:rPr>
  </w:style>
  <w:style w:type="paragraph" w:styleId="7">
    <w:name w:val="Balloon Text"/>
    <w:basedOn w:val="1"/>
    <w:link w:val="20"/>
    <w:uiPriority w:val="99"/>
    <w:pPr>
      <w:spacing w:line="240" w:lineRule="auto"/>
    </w:pPr>
    <w:rPr>
      <w:sz w:val="18"/>
      <w:szCs w:val="18"/>
    </w:rPr>
  </w:style>
  <w:style w:type="paragraph" w:styleId="8">
    <w:name w:val="footer"/>
    <w:basedOn w:val="1"/>
    <w:link w:val="19"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9">
    <w:name w:val="header"/>
    <w:basedOn w:val="1"/>
    <w:link w:val="1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i/>
      <w:iCs/>
    </w:rPr>
  </w:style>
  <w:style w:type="character" w:styleId="15">
    <w:name w:val="Hyperlink"/>
    <w:basedOn w:val="12"/>
    <w:uiPriority w:val="99"/>
    <w:rPr>
      <w:color w:val="0000FF"/>
      <w:u w:val="single"/>
    </w:rPr>
  </w:style>
  <w:style w:type="character" w:customStyle="1" w:styleId="16">
    <w:name w:val="纯文本 字符"/>
    <w:basedOn w:val="12"/>
    <w:link w:val="6"/>
    <w:qFormat/>
    <w:uiPriority w:val="99"/>
    <w:rPr>
      <w:rFonts w:ascii="仿宋_GB2312" w:hAnsi="Times New Roman" w:eastAsia="宋体" w:cs="Times New Roman"/>
      <w:sz w:val="24"/>
      <w:szCs w:val="20"/>
    </w:rPr>
  </w:style>
  <w:style w:type="paragraph" w:customStyle="1" w:styleId="17">
    <w:name w:val="p0"/>
    <w:basedOn w:val="1"/>
    <w:uiPriority w:val="99"/>
    <w:pPr>
      <w:spacing w:line="240" w:lineRule="auto"/>
    </w:pPr>
    <w:rPr>
      <w:rFonts w:eastAsia="宋体"/>
      <w:kern w:val="0"/>
      <w:sz w:val="20"/>
      <w:szCs w:val="20"/>
    </w:rPr>
  </w:style>
  <w:style w:type="character" w:customStyle="1" w:styleId="18">
    <w:name w:val="页眉 字符"/>
    <w:basedOn w:val="12"/>
    <w:link w:val="9"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脚 字符"/>
    <w:basedOn w:val="12"/>
    <w:link w:val="8"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20">
    <w:name w:val="批注框文本 字符"/>
    <w:basedOn w:val="12"/>
    <w:link w:val="7"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标题 3 字符"/>
    <w:basedOn w:val="12"/>
    <w:link w:val="5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2">
    <w:name w:val="cit-year-info"/>
    <w:basedOn w:val="12"/>
    <w:uiPriority w:val="0"/>
  </w:style>
  <w:style w:type="character" w:customStyle="1" w:styleId="23">
    <w:name w:val="cit-volume"/>
    <w:basedOn w:val="12"/>
    <w:uiPriority w:val="0"/>
  </w:style>
  <w:style w:type="character" w:customStyle="1" w:styleId="24">
    <w:name w:val="cit-issue"/>
    <w:basedOn w:val="12"/>
    <w:uiPriority w:val="0"/>
  </w:style>
  <w:style w:type="character" w:customStyle="1" w:styleId="25">
    <w:name w:val="cit-pagerange"/>
    <w:basedOn w:val="12"/>
    <w:uiPriority w:val="0"/>
  </w:style>
  <w:style w:type="character" w:customStyle="1" w:styleId="26">
    <w:name w:val="标题 2 字符"/>
    <w:basedOn w:val="12"/>
    <w:link w:val="4"/>
    <w:uiPriority w:val="9"/>
    <w:rPr>
      <w:rFonts w:ascii="Cambria" w:hAnsi="Cambria" w:eastAsia="宋体" w:cs="宋体"/>
      <w:b/>
      <w:bCs/>
      <w:sz w:val="32"/>
      <w:szCs w:val="32"/>
    </w:rPr>
  </w:style>
  <w:style w:type="character" w:customStyle="1" w:styleId="27">
    <w:name w:val="标题 1 字符"/>
    <w:basedOn w:val="12"/>
    <w:link w:val="3"/>
    <w:uiPriority w:val="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28">
    <w:name w:val="hlfld-title"/>
    <w:basedOn w:val="12"/>
    <w:uiPriority w:val="0"/>
  </w:style>
  <w:style w:type="character" w:customStyle="1" w:styleId="29">
    <w:name w:val="hlfld-contribauthor"/>
    <w:basedOn w:val="12"/>
    <w:uiPriority w:val="0"/>
  </w:style>
  <w:style w:type="paragraph" w:customStyle="1" w:styleId="30">
    <w:name w:val="comma-separator"/>
    <w:basedOn w:val="1"/>
    <w:uiPriority w:val="0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customStyle="1" w:styleId="31">
    <w:name w:val="comma-separator1"/>
    <w:basedOn w:val="12"/>
    <w:uiPriority w:val="0"/>
  </w:style>
  <w:style w:type="character" w:customStyle="1" w:styleId="32">
    <w:name w:val="article__author-link"/>
    <w:basedOn w:val="12"/>
    <w:uiPriority w:val="0"/>
  </w:style>
  <w:style w:type="character" w:customStyle="1" w:styleId="33">
    <w:name w:val="orcid"/>
    <w:basedOn w:val="12"/>
    <w:uiPriority w:val="0"/>
  </w:style>
  <w:style w:type="character" w:customStyle="1" w:styleId="34">
    <w:name w:val="ng-star-inserted"/>
    <w:basedOn w:val="12"/>
    <w:uiPriority w:val="0"/>
  </w:style>
  <w:style w:type="character" w:customStyle="1" w:styleId="35">
    <w:name w:val="value"/>
    <w:basedOn w:val="12"/>
    <w:uiPriority w:val="0"/>
  </w:style>
  <w:style w:type="character" w:customStyle="1" w:styleId="36">
    <w:name w:val="mdc-button__label"/>
    <w:basedOn w:val="12"/>
    <w:uiPriority w:val="0"/>
  </w:style>
  <w:style w:type="paragraph" w:customStyle="1" w:styleId="37">
    <w:name w:val="pdq2pg_selectionanchorcontainer"/>
    <w:basedOn w:val="1"/>
    <w:uiPriority w:val="0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4496</Words>
  <Characters>7105</Characters>
  <Lines>56</Lines>
  <Paragraphs>16</Paragraphs>
  <TotalTime>1</TotalTime>
  <ScaleCrop>false</ScaleCrop>
  <LinksUpToDate>false</LinksUpToDate>
  <CharactersWithSpaces>7473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2026-09-20T08:18:00Z</dcterms:created>
  <dc:creator>whx</dc:creator>
  <cp:lastModifiedBy>zhuzhuxia</cp:lastModifiedBy>
  <dcterms:modified xsi:type="dcterms:W3CDTF">2026-09-24T05:41:18Z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0C07125CD95C4AD3AA164294A5CE46E4_13</vt:lpwstr>
  </property>
  <property fmtid="{D5CDD505-2E9C-101B-9397-08002B2CF9AE}" pid="4" name="KSOTemplateDocerSaveRecord">
    <vt:lpwstr>eyJoZGlkIjoiMDE5MjNhYjI0MmJiZTY0ZDdlM2ZjNzdhMTg0OGE1ODAiLCJ1c2VySWQiOiIxMTM2MzQxMzAxIn0=</vt:lpwstr>
  </property>
</Properties>
</file>