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tabs>
          <w:tab w:val="left" w:pos="4253"/>
        </w:tabs>
        <w:jc w:val="center"/>
        <w:rPr>
          <w:b/>
          <w:color w:val="FF0000"/>
          <w:sz w:val="72"/>
          <w:szCs w:val="72"/>
        </w:rPr>
      </w:pPr>
      <w:r>
        <w:rPr>
          <w:rFonts w:hint="eastAsia"/>
          <w:b/>
          <w:color w:val="FF0000"/>
          <w:sz w:val="72"/>
          <w:szCs w:val="72"/>
        </w:rPr>
        <w:t>桂林电子科技大学</w:t>
      </w:r>
    </w:p>
    <w:p>
      <w:pPr>
        <w:jc w:val="center"/>
        <w:rPr>
          <w:b/>
          <w:color w:val="FF0000"/>
          <w:sz w:val="72"/>
          <w:szCs w:val="72"/>
        </w:rPr>
      </w:pPr>
      <w:r>
        <w:rPr>
          <w:rFonts w:hint="eastAsia"/>
          <w:b/>
          <w:color w:val="FF0000"/>
          <w:sz w:val="72"/>
          <w:szCs w:val="72"/>
        </w:rPr>
        <w:t>建筑与交通工程学院文件</w:t>
      </w:r>
    </w:p>
    <w:p>
      <w:pPr>
        <w:ind w:firstLineChars="98" w:firstLine="294"/>
        <w:jc w:val="center"/>
        <w:rPr>
          <w:rFonts w:ascii="方正小标宋_GBK" w:eastAsia="方正小标宋_GBK"/>
          <w:bCs/>
          <w:sz w:val="30"/>
          <w:szCs w:val="30"/>
        </w:rPr>
      </w:pPr>
      <w:r>
        <w:rPr>
          <w:rFonts w:ascii="方正小标宋_GBK" w:eastAsia="方正小标宋_GBK" w:hint="eastAsia"/>
          <w:bCs/>
          <w:sz w:val="30"/>
          <w:szCs w:val="30"/>
        </w:rPr>
        <w:t>建交[2022]24号</w:t>
      </w:r>
    </w:p>
    <w:p>
      <w:pPr>
        <w:ind w:firstLineChars="98" w:firstLine="206"/>
        <w:jc w:val="center"/>
        <w:rPr>
          <w:b/>
          <w:sz w:val="32"/>
          <w:szCs w:val="32"/>
        </w:rPr>
      </w:pPr>
      <w:r>
        <mc:AlternateContent>
          <mc:Choice Requires="wps">
            <w:drawing>
              <wp:anchor distT="0" distB="0" distL="114298" distR="114298" simplePos="0" relativeHeight="14" behindDoc="0" locked="0" layoutInCell="1" hidden="0" allowOverlap="1">
                <wp:simplePos x="0" y="0"/>
                <wp:positionH relativeFrom="column">
                  <wp:posOffset>21589</wp:posOffset>
                </wp:positionH>
                <wp:positionV relativeFrom="paragraph">
                  <wp:posOffset>22859</wp:posOffset>
                </wp:positionV>
                <wp:extent cx="6097270" cy="4445"/>
                <wp:effectExtent l="0" t="0" r="0" b="0"/>
                <wp:wrapNone/>
                <wp:docPr id="1" name="自选图形 2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709295" y="2522219"/>
                          <a:ext cx="6097270" cy="4445"/>
                        </a:xfrm>
                        <a:prstGeom prst="straightConnector1"/>
                        <a:noFill/>
                        <a:ln w="28575" cmpd="sng" cap="flat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type="#_x0000_t32" id="自选图形 2 2" o:spid="_x0000_s2" filled="f" stroked="t" strokeweight="2.25pt" style="position:absolute;margin-left:1.6999997pt;margin-top:1.7999909pt;width:480.1pt;height:0.35000086pt;z-index:14;mso-position-horizontal:absolute;mso-position-vertical:absolute;mso-wrap-distance-left:8.999863pt;mso-wrap-distance-right:8.999863pt;">
                <v:stroke color="#FF0000"/>
              </v:shape>
            </w:pict>
          </mc:Fallback>
        </mc:AlternateContent>
      </w: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关于公布2022年院级课程建设</w:t>
      </w:r>
      <w:r>
        <w:rPr>
          <w:rFonts w:ascii="黑体" w:eastAsia="黑体"/>
          <w:sz w:val="44"/>
          <w:szCs w:val="44"/>
        </w:rPr>
        <w:t>教育教学</w:t>
      </w:r>
      <w:r>
        <w:rPr>
          <w:rFonts w:ascii="黑体" w:eastAsia="黑体" w:hint="eastAsia"/>
          <w:sz w:val="44"/>
          <w:szCs w:val="44"/>
        </w:rPr>
        <w:t>改革项目立项结果的通知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各专业系、各个人：</w:t>
      </w:r>
    </w:p>
    <w:p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根据学校《关于启动我校课程建设教育教学改革项目申报工作的通知》要求，学院开展了2022年院级课程建设教育教学改革项目申报工作。</w:t>
      </w:r>
      <w:r>
        <w:rPr>
          <w:rFonts w:ascii="仿宋_GB2312" w:eastAsia="仿宋_GB2312" w:hint="eastAsia"/>
          <w:sz w:val="32"/>
          <w:szCs w:val="32"/>
        </w:rPr>
        <w:t>确定立项</w:t>
      </w:r>
      <w:r>
        <w:rPr>
          <w:rFonts w:ascii="仿宋_GB2312" w:eastAsia="仿宋_GB2312"/>
          <w:sz w:val="32"/>
          <w:szCs w:val="32"/>
        </w:rPr>
        <w:t>挑战性学习课程8门，进阶项目式课程5门，跨学科项目式课程4门，校企合作课程2门，总</w:t>
      </w:r>
      <w:r>
        <w:rPr>
          <w:rFonts w:ascii="仿宋_GB2312" w:eastAsia="仿宋_GB2312" w:hint="eastAsia"/>
          <w:sz w:val="32"/>
          <w:szCs w:val="32"/>
        </w:rPr>
        <w:t>共</w:t>
      </w:r>
      <w:r>
        <w:rPr>
          <w:rFonts w:ascii="仿宋_GB2312" w:eastAsia="仿宋_GB2312"/>
          <w:sz w:val="32"/>
          <w:szCs w:val="32"/>
        </w:rPr>
        <w:t>19项。现将相关事项通知如下：</w:t>
      </w:r>
    </w:p>
    <w:p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院级课程建设教育教学改革项目按照学校、学院教育教学改革项目管理办法相关规定执行。</w:t>
      </w:r>
    </w:p>
    <w:p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学院对于立项项目给予专项经费资助，资助额度为1万元/项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>。经费使用按照学校、学院教育教学改革项目管理办法相关规定执行。</w:t>
      </w:r>
    </w:p>
    <w:p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院级课程建设教育教学改革项目研究时间为2年，由项目负责人把握项目的总体进度及水平。</w:t>
      </w:r>
    </w:p>
    <w:p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各专业系要积极支持院级课程建设教育教学改革项目的实施，推进课程改革成果的试点和应用，督促项目负责人按时高质量完成项目。凡需延期结题的项目，项目负责人应提交详尽的书面申请报告，所在系负责人审核签字后、学院批准后，方可延期。延期一次还不能按时结题者，学院将做撤项处理，并将视具体情况追回全部或部分经费，被撤销项目负责人两年内不得申报各级各类教育教学改革项目。</w:t>
      </w:r>
    </w:p>
    <w:p>
      <w:pPr>
        <w:ind w:left="965"/>
        <w:rPr>
          <w:rFonts w:ascii="仿宋_GB2312" w:eastAsia="仿宋_GB2312"/>
          <w:sz w:val="32"/>
          <w:szCs w:val="32"/>
        </w:rPr>
      </w:pPr>
    </w:p>
    <w:p>
      <w:pPr>
        <w:ind w:left="965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附表：建筑与交通工程学院课程建设教学改革立项信息一览表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建筑与交通工程学院</w:t>
      </w:r>
    </w:p>
    <w:p>
      <w:pPr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2022年11月22日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>
      <w:pPr>
        <w:spacing w:line="660" w:lineRule="exact"/>
        <w:jc w:val="left"/>
        <w:rPr>
          <w:rFonts w:ascii="黑体" w:eastAsia="黑体" w:cs="方正小标宋简体"/>
          <w:bCs/>
          <w:sz w:val="32"/>
          <w:szCs w:val="32"/>
        </w:rPr>
      </w:pPr>
      <w:r>
        <w:rPr>
          <w:rFonts w:ascii="黑体" w:eastAsia="黑体" w:cs="方正小标宋简体" w:hint="eastAsia"/>
          <w:bCs/>
          <w:sz w:val="32"/>
          <w:szCs w:val="32"/>
        </w:rPr>
        <w:t>附</w:t>
      </w:r>
      <w:r>
        <w:rPr>
          <w:rFonts w:ascii="黑体" w:eastAsia="黑体" w:cs="方正小标宋简体"/>
          <w:bCs/>
          <w:sz w:val="32"/>
          <w:szCs w:val="32"/>
        </w:rPr>
        <w:t>表</w:t>
      </w:r>
      <w:r>
        <w:rPr>
          <w:rFonts w:ascii="黑体" w:eastAsia="黑体" w:cs="方正小标宋简体" w:hint="eastAsia"/>
          <w:bCs/>
          <w:sz w:val="32"/>
          <w:szCs w:val="32"/>
        </w:rPr>
        <w:t>：</w:t>
      </w:r>
    </w:p>
    <w:p>
      <w:pPr>
        <w:spacing w:line="660" w:lineRule="exact"/>
        <w:jc w:val="center"/>
        <w:rPr>
          <w:rFonts w:ascii="仿宋_GB2312" w:eastAsia="仿宋_GB2312" w:cs="仿宋"/>
          <w:bCs/>
          <w:color w:val="000000"/>
          <w:sz w:val="32"/>
          <w:szCs w:val="32"/>
        </w:rPr>
      </w:pPr>
      <w:r>
        <w:rPr>
          <w:rFonts w:ascii="黑体" w:eastAsia="黑体" w:cs="方正小标宋简体" w:hint="eastAsia"/>
          <w:bCs/>
          <w:sz w:val="32"/>
          <w:szCs w:val="32"/>
        </w:rPr>
        <w:t>建筑与交通工程学院课程建设教学改革立项信息一览表</w:t>
      </w:r>
    </w:p>
    <w:tbl>
      <w:tblPr>
        <w:jc w:val="center"/>
        <w:tblW w:w="9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863"/>
        <w:gridCol w:w="2811"/>
        <w:gridCol w:w="2517"/>
        <w:gridCol w:w="1258"/>
      </w:tblGrid>
      <w:tr>
        <w:trPr>
          <w:trHeight w:val="70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 w:cs="仿宋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sz w:val="24"/>
                <w:szCs w:val="24"/>
              </w:rPr>
              <w:t>项目编号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项目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类型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负责人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022JJKG01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交通工程系统分析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挑战性学习课程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廉冠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022JJKG02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智能交通运输系统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校企合作课程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赵红专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022JJKG03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交通设计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校企合作课程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王涛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022JJKG04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交通规划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挑战性学习课程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徐奇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022JJKG05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交通工程设施设计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进阶项目式课程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程瑞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022JJKG06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工程力学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挑战性学习课程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岑成贤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022JJKG07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路基路面工程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挑战性学习课程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黎新蓉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022JJKG08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道路勘测设计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跨学科项目式课程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周长红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022JJKG09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热质交换原理与设备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进阶项目式课程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韩杰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022JJKG10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普通化学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跨学科项目式课程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蔡建军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022JJKG11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供热与锅炉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进阶项目式课程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房斌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022JJKG12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传热传质综合实验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挑战性学习课程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郭敏佳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022JJKG13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结构力学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挑战性学习课程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马彬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022JJKG14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房屋建筑学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挑战性学习课程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杨柏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022JJKG15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建筑工程施工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跨学科项目式课程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赵珊珊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022JJKG16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建筑智能环境学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跨学科项目式课程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尹应德</w:t>
            </w:r>
          </w:p>
        </w:tc>
      </w:tr>
      <w:tr>
        <w:trPr>
          <w:trHeight w:val="70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022JJKG17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单片机原理及接口技术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挑战性学习课程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粟建波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022JJKG18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建筑供配电与照明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进阶项目式课程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吴姝芹</w:t>
            </w:r>
          </w:p>
        </w:tc>
      </w:tr>
      <w:tr>
        <w:trPr>
          <w:trHeight w:val="3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cs="仿宋"/>
                <w:color w:val="000000"/>
                <w:sz w:val="24"/>
                <w:szCs w:val="24"/>
              </w:rPr>
              <w:t>022JJKG19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建筑智能化系统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进阶项目式课程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" w:hint="eastAsia"/>
                <w:color w:val="000000"/>
                <w:sz w:val="24"/>
                <w:szCs w:val="24"/>
              </w:rPr>
              <w:t>王金辉</w:t>
            </w:r>
          </w:p>
        </w:tc>
      </w:tr>
    </w:tbl>
    <w:p>
      <w:pPr>
        <w:spacing w:line="360" w:lineRule="exact"/>
        <w:ind w:firstLineChars="200" w:firstLine="480"/>
        <w:rPr>
          <w:rFonts w:ascii="仿宋_GB2312" w:eastAsia="仿宋_GB2312" w:cs="仿宋"/>
          <w:color w:val="000000"/>
          <w:sz w:val="24"/>
          <w:szCs w:val="24"/>
        </w:rPr>
      </w:pPr>
    </w:p>
    <w:p>
      <w:pPr>
        <w:jc w:val="right"/>
        <w:rPr>
          <w:rFonts w:ascii="仿宋_GB2312" w:eastAsia="仿宋_GB2312"/>
          <w:sz w:val="28"/>
          <w:szCs w:val="28"/>
        </w:rPr>
      </w:pPr>
    </w:p>
    <w:p>
      <w:pPr>
        <w:jc w:val="right"/>
        <w:rPr>
          <w:rFonts w:ascii="仿宋_GB2312" w:eastAsia="仿宋_GB2312"/>
          <w:sz w:val="28"/>
          <w:szCs w:val="28"/>
        </w:rPr>
      </w:pPr>
    </w:p>
    <w:p>
      <w:pPr>
        <w:jc w:val="right"/>
        <w:rPr>
          <w:rFonts w:ascii="仿宋_GB2312" w:eastAsia="仿宋_GB2312"/>
          <w:sz w:val="28"/>
          <w:szCs w:val="28"/>
        </w:rPr>
      </w:pPr>
    </w:p>
    <w:p>
      <w:pPr>
        <w:jc w:val="right"/>
        <w:rPr>
          <w:rFonts w:ascii="仿宋_GB2312" w:eastAsia="仿宋_GB2312"/>
          <w:sz w:val="28"/>
          <w:szCs w:val="28"/>
        </w:rPr>
      </w:pPr>
    </w:p>
    <w:p>
      <w:pPr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85723" distR="85723" simplePos="0" relativeHeight="16" behindDoc="0" locked="0" layoutInCell="1" hidden="0" allowOverlap="1">
                <wp:simplePos x="0" y="0"/>
                <wp:positionH relativeFrom="column">
                  <wp:posOffset>-1915</wp:posOffset>
                </wp:positionH>
                <wp:positionV relativeFrom="paragraph">
                  <wp:posOffset>351706</wp:posOffset>
                </wp:positionV>
                <wp:extent cx="5886360" cy="0"/>
                <wp:effectExtent l="0" t="0" r="0" b="0"/>
                <wp:wrapNone/>
                <wp:docPr id="3" name="直线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886360" cy="0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4" o:spid="_x0000_s4" from="-0.15082511pt,27.693457pt" to="463.34213pt,27.693457pt" filled="f" stroked="t" style="position:absolute;z-index:16;mso-position-horizontal:absolute;mso-position-vertical:absolute;mso-wrap-distance-left:6.749897pt;mso-wrap-distance-right:6.749897pt;visibility:visible;">
                <v:stroke color="#000000"/>
              </v:line>
            </w:pict>
          </mc:Fallback>
        </mc:AlternateConten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85723" distR="85723" simplePos="0" relativeHeight="18" behindDoc="0" locked="0" layoutInCell="1" hidden="0" allowOverlap="1">
                <wp:simplePos x="0" y="0"/>
                <wp:positionH relativeFrom="column">
                  <wp:posOffset>19049</wp:posOffset>
                </wp:positionH>
                <wp:positionV relativeFrom="paragraph">
                  <wp:posOffset>374460</wp:posOffset>
                </wp:positionV>
                <wp:extent cx="5886360" cy="0"/>
                <wp:effectExtent l="0" t="0" r="0" b="0"/>
                <wp:wrapNone/>
                <wp:docPr id="5" name="直线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886360" cy="0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6" o:spid="_x0000_s6" from="1.4999771pt,29.485117pt" to="464.99292pt,29.485117pt" filled="f" stroked="t" style="position:absolute;z-index:18;mso-position-horizontal:absolute;mso-position-vertical:absolute;mso-wrap-distance-left:6.749897pt;mso-wrap-distance-right:6.749897pt;visibility:visible;">
                <v:stroke color="#000000"/>
              </v:line>
            </w:pict>
          </mc:Fallback>
        </mc:AlternateContent>
      </w:r>
      <w:r>
        <w:rPr>
          <w:rFonts w:ascii="黑体" w:eastAsia="黑体" w:hint="eastAsia"/>
          <w:sz w:val="28"/>
          <w:szCs w:val="28"/>
        </w:rPr>
        <w:t>建筑与交通工程学院办公室                  2022年11月22日印发</w:t>
      </w:r>
    </w:p>
    <w:p>
      <w:pPr>
        <w:rPr>
          <w:rFonts w:ascii="仿宋_GB2312" w:eastAsia="仿宋_GB2312"/>
          <w:sz w:val="28"/>
          <w:szCs w:val="28"/>
        </w:rPr>
      </w:pPr>
    </w:p>
    <w:sectPr>
      <w:footerReference w:type="default" r:id="rId2"/>
      <w:footerReference w:type="even" r:id="rId3"/>
      <w:footerReference w:type="first" r:id="rId4"/>
      <w:pgSz w:w="11907" w:h="16839"/>
      <w:pgMar w:top="1440" w:right="1083" w:bottom="1440" w:left="1083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微软雅黑"/>
    <w:panose1 w:val="00000000000000000000"/>
    <w:charset w:val="86"/>
    <w:family w:val="script"/>
    <w:pitch w:val="variable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framePr w:w="0" w:hRule="auto" w:wrap="around" w:vAnchor="text" w:hAnchor="margin" w:xAlign="outside" w:y="1" w:anchorLock="0"/>
      <w:tabs>
        <w:tab w:val="center" w:pos="4153"/>
        <w:tab w:val="right" w:pos="8307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— 1 —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7"/>
      </w:tabs>
      <w:ind w:right="36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framePr w:w="0" w:hRule="auto" w:wrap="around" w:vAnchor="text" w:hAnchor="margin" w:xAlign="outside" w:y="1" w:anchorLock="0"/>
      <w:tabs>
        <w:tab w:val="center" w:pos="4153"/>
        <w:tab w:val="right" w:pos="8307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— 1 —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7"/>
      </w:tabs>
      <w:ind w:right="360" w:firstLine="360"/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framePr w:w="0" w:hRule="auto" w:wrap="around" w:vAnchor="text" w:hAnchor="margin" w:xAlign="outside" w:y="1" w:anchorLock="0"/>
      <w:tabs>
        <w:tab w:val="center" w:pos="4153"/>
        <w:tab w:val="right" w:pos="8307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— 1 —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7"/>
      </w:tabs>
      <w:ind w:right="360" w:firstLine="360"/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B2BEA658"/>
    <w:multiLevelType w:val="hybridMultilevel"/>
    <w:tmpl w:val="00000000"/>
    <w:lvl w:ilvl="0">
      <w:start w:val="1"/>
      <w:numFmt w:val="decimal"/>
      <w:lvlRestart w:val="0"/>
      <w:lvlText w:val="%1、"/>
      <w:lvlJc w:val="left"/>
      <w:pPr>
        <w:ind w:left="965" w:hanging="485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15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qFormat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17">
    <w:name w:val="page number"/>
    <w:qFormat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/>
    <sectPr pgNumType="\* ArabicDash2"/>
  </customProps>
</customData>
</file>

<file path=customXml/itemProps1.xml><?xml version="1.0" encoding="utf-8"?>
<ds:datastoreItem xmlns:ds="http://schemas.openxmlformats.org/officeDocument/2006/customXml" ds:itemID="{43D1EDF4-EC86-4DEB-9EEB-425774E917F5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92</TotalTime>
  <Application>Yozo_Office27021597764231180</Application>
  <Pages>4</Pages>
  <Words>0</Words>
  <Characters>994</Characters>
  <Lines>0</Lines>
  <Paragraphs>31</Paragraphs>
  <CharactersWithSpaces>1326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Administrator</cp:lastModifiedBy>
  <cp:revision>3</cp:revision>
  <dcterms:created xsi:type="dcterms:W3CDTF">2022-11-23T01:30:00Z</dcterms:created>
  <dcterms:modified xsi:type="dcterms:W3CDTF">2022-11-23T04:07:19Z</dcterms:modified>
</cp:coreProperties>
</file>