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47D07">
      <w:pPr>
        <w:spacing w:before="106" w:line="59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position w:val="2"/>
          <w:sz w:val="44"/>
          <w:szCs w:val="44"/>
          <w:lang w:val="en-US" w:eastAsia="zh-CN"/>
        </w:rPr>
      </w:pPr>
      <w:bookmarkStart w:id="0" w:name="OLE_LINK2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position w:val="2"/>
          <w:sz w:val="44"/>
          <w:szCs w:val="44"/>
          <w:lang w:val="en-US" w:eastAsia="zh-CN"/>
        </w:rPr>
        <w:t>桂林电子科技大学人工智能通识课设置</w:t>
      </w:r>
    </w:p>
    <w:p w14:paraId="7D458D46">
      <w:pPr>
        <w:spacing w:before="106" w:line="594" w:lineRule="exact"/>
        <w:jc w:val="center"/>
        <w:rPr>
          <w:rFonts w:hint="eastAsia" w:ascii="方正小标宋简体" w:hAnsi="方正小标宋简体" w:eastAsia="方正小标宋简体" w:cs="方正小标宋简体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position w:val="2"/>
          <w:sz w:val="44"/>
          <w:szCs w:val="44"/>
          <w:lang w:val="en-US" w:eastAsia="zh-CN"/>
        </w:rPr>
        <w:t>实施方案</w:t>
      </w:r>
      <w:bookmarkEnd w:id="0"/>
    </w:p>
    <w:p w14:paraId="7BE2752B">
      <w:pPr>
        <w:spacing w:before="71" w:line="488" w:lineRule="exact"/>
        <w:jc w:val="center"/>
        <w:rPr>
          <w:rFonts w:hint="eastAsia" w:ascii="楷体" w:hAnsi="楷体" w:eastAsia="楷体" w:cs="楷体"/>
          <w:b w:val="0"/>
          <w:bCs w:val="0"/>
          <w:spacing w:val="13"/>
          <w:position w:val="2"/>
          <w:sz w:val="32"/>
          <w:szCs w:val="32"/>
        </w:rPr>
      </w:pPr>
    </w:p>
    <w:p w14:paraId="117FA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为深入贯彻党的二十大和二十届二中、三中全会精神，落实立德树人根本任务，坚持为党育人、为国育才的指导方针，深化人工智能时代教育改革，促进人工智能与其他学科专业深度交叉融合，全面提高大学生人工智能专业能力和综合素养，培养社会急需的拔尖创新人才，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根据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《自治区教育厅关于在全区普通本科高校开设人工智能通识课的通知》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（桂教高教〔2025〕15号）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，将人工智能通识课纳入本科人才培养方案，具体方案如下。</w:t>
      </w:r>
    </w:p>
    <w:p w14:paraId="34B621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一、课程设置方案</w:t>
      </w:r>
    </w:p>
    <w:p w14:paraId="5A4CE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9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9"/>
          <w:sz w:val="32"/>
          <w:szCs w:val="32"/>
          <w:lang w:val="en-US" w:eastAsia="zh-CN"/>
        </w:rPr>
        <w:t>试点阶段：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2025年春季学期开设人工智能通识选修课，课程设置为2个学分，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面向理工类专业开设《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计算思维与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（理工版）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》，面向管文类专业开设《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计算思维与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（管文版）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，面向艺体类专业开设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《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计算思维与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（艺体版）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。设置方案见表1。</w:t>
      </w:r>
    </w:p>
    <w:p w14:paraId="06458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楷体" w:cs="仿宋"/>
          <w:spacing w:val="9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>表1    人工智能通识课设置方案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zh-CN"/>
        </w:rPr>
        <w:t>（试点阶段）</w:t>
      </w:r>
    </w:p>
    <w:tbl>
      <w:tblPr>
        <w:tblStyle w:val="8"/>
        <w:tblW w:w="5033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1580"/>
        <w:gridCol w:w="957"/>
        <w:gridCol w:w="1039"/>
        <w:gridCol w:w="1344"/>
        <w:gridCol w:w="2262"/>
        <w:gridCol w:w="848"/>
      </w:tblGrid>
      <w:tr w14:paraId="68B87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93" w:type="pct"/>
            <w:noWrap w:val="0"/>
            <w:vAlign w:val="center"/>
          </w:tcPr>
          <w:p w14:paraId="137243B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专业</w:t>
            </w:r>
          </w:p>
          <w:p w14:paraId="5B71BD5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886" w:type="pct"/>
            <w:noWrap w:val="0"/>
            <w:vAlign w:val="center"/>
          </w:tcPr>
          <w:p w14:paraId="65960F3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课程名称</w:t>
            </w:r>
          </w:p>
        </w:tc>
        <w:tc>
          <w:tcPr>
            <w:tcW w:w="537" w:type="pct"/>
            <w:noWrap w:val="0"/>
            <w:vAlign w:val="center"/>
          </w:tcPr>
          <w:p w14:paraId="5E9077A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开课</w:t>
            </w:r>
          </w:p>
          <w:p w14:paraId="1E66543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学期</w:t>
            </w:r>
          </w:p>
        </w:tc>
        <w:tc>
          <w:tcPr>
            <w:tcW w:w="583" w:type="pct"/>
            <w:noWrap w:val="0"/>
            <w:vAlign w:val="center"/>
          </w:tcPr>
          <w:p w14:paraId="7826AD3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学时</w:t>
            </w:r>
          </w:p>
        </w:tc>
        <w:tc>
          <w:tcPr>
            <w:tcW w:w="754" w:type="pct"/>
            <w:noWrap w:val="0"/>
            <w:vAlign w:val="center"/>
          </w:tcPr>
          <w:p w14:paraId="2B27594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学分</w:t>
            </w:r>
          </w:p>
        </w:tc>
        <w:tc>
          <w:tcPr>
            <w:tcW w:w="1269" w:type="pct"/>
            <w:noWrap w:val="0"/>
            <w:vAlign w:val="center"/>
          </w:tcPr>
          <w:p w14:paraId="2B7B09B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75" w:type="pct"/>
            <w:noWrap w:val="0"/>
            <w:vAlign w:val="center"/>
          </w:tcPr>
          <w:p w14:paraId="519E690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学生数</w:t>
            </w:r>
          </w:p>
        </w:tc>
      </w:tr>
      <w:tr w14:paraId="0DC653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493" w:type="pct"/>
            <w:noWrap w:val="0"/>
            <w:vAlign w:val="center"/>
          </w:tcPr>
          <w:p w14:paraId="4E9F3C97">
            <w:pPr>
              <w:spacing w:before="65" w:line="233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理工类</w:t>
            </w:r>
          </w:p>
        </w:tc>
        <w:tc>
          <w:tcPr>
            <w:tcW w:w="886" w:type="pct"/>
            <w:noWrap w:val="0"/>
            <w:vAlign w:val="center"/>
          </w:tcPr>
          <w:p w14:paraId="12F58EEF">
            <w:pPr>
              <w:spacing w:before="65" w:line="289" w:lineRule="auto"/>
              <w:ind w:right="14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人工智能导论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（理工版）</w:t>
            </w:r>
          </w:p>
        </w:tc>
        <w:tc>
          <w:tcPr>
            <w:tcW w:w="537" w:type="pct"/>
            <w:noWrap w:val="0"/>
            <w:vAlign w:val="center"/>
          </w:tcPr>
          <w:p w14:paraId="4546544E">
            <w:pPr>
              <w:spacing w:before="57" w:line="195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2025年春</w:t>
            </w:r>
          </w:p>
        </w:tc>
        <w:tc>
          <w:tcPr>
            <w:tcW w:w="583" w:type="pct"/>
            <w:noWrap w:val="0"/>
            <w:vAlign w:val="center"/>
          </w:tcPr>
          <w:p w14:paraId="5E77D01D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754" w:type="pct"/>
            <w:noWrap w:val="0"/>
            <w:vAlign w:val="center"/>
          </w:tcPr>
          <w:p w14:paraId="68F717F3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69" w:type="pct"/>
            <w:noWrap w:val="0"/>
            <w:vAlign w:val="center"/>
          </w:tcPr>
          <w:p w14:paraId="549A5DEB">
            <w:pPr>
              <w:spacing w:before="171" w:line="288" w:lineRule="auto"/>
              <w:ind w:right="38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所有理工类专业可选</w:t>
            </w:r>
          </w:p>
        </w:tc>
        <w:tc>
          <w:tcPr>
            <w:tcW w:w="475" w:type="pct"/>
            <w:noWrap w:val="0"/>
            <w:vAlign w:val="center"/>
          </w:tcPr>
          <w:p w14:paraId="2E42744A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100</w:t>
            </w:r>
          </w:p>
        </w:tc>
      </w:tr>
      <w:tr w14:paraId="0BD87B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493" w:type="pct"/>
            <w:noWrap w:val="0"/>
            <w:vAlign w:val="center"/>
          </w:tcPr>
          <w:p w14:paraId="3E414306">
            <w:pPr>
              <w:spacing w:before="65" w:line="23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管文类</w:t>
            </w:r>
          </w:p>
        </w:tc>
        <w:tc>
          <w:tcPr>
            <w:tcW w:w="886" w:type="pct"/>
            <w:noWrap w:val="0"/>
            <w:vAlign w:val="center"/>
          </w:tcPr>
          <w:p w14:paraId="46E3DEDC">
            <w:pPr>
              <w:spacing w:before="65" w:line="289" w:lineRule="auto"/>
              <w:ind w:right="14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人工智能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导论</w:t>
            </w:r>
            <w:r>
              <w:rPr>
                <w:rFonts w:ascii="仿宋" w:hAnsi="仿宋" w:eastAsia="仿宋" w:cs="仿宋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（管文版）</w:t>
            </w:r>
          </w:p>
        </w:tc>
        <w:tc>
          <w:tcPr>
            <w:tcW w:w="957" w:type="dxa"/>
            <w:noWrap w:val="0"/>
            <w:vAlign w:val="center"/>
          </w:tcPr>
          <w:p w14:paraId="6201DD16">
            <w:pPr>
              <w:spacing w:before="57" w:line="195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2025年春</w:t>
            </w:r>
          </w:p>
        </w:tc>
        <w:tc>
          <w:tcPr>
            <w:tcW w:w="1039" w:type="dxa"/>
            <w:noWrap w:val="0"/>
            <w:vAlign w:val="center"/>
          </w:tcPr>
          <w:p w14:paraId="6B474A6D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1344" w:type="dxa"/>
            <w:noWrap w:val="0"/>
            <w:vAlign w:val="center"/>
          </w:tcPr>
          <w:p w14:paraId="46A2954B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69" w:type="pct"/>
            <w:noWrap w:val="0"/>
            <w:vAlign w:val="center"/>
          </w:tcPr>
          <w:p w14:paraId="3EDD58C5">
            <w:pPr>
              <w:spacing w:before="167" w:line="288" w:lineRule="auto"/>
              <w:ind w:right="10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所有管文类专业可选</w:t>
            </w:r>
          </w:p>
        </w:tc>
        <w:tc>
          <w:tcPr>
            <w:tcW w:w="475" w:type="pct"/>
            <w:noWrap w:val="0"/>
            <w:vAlign w:val="center"/>
          </w:tcPr>
          <w:p w14:paraId="40523052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100</w:t>
            </w:r>
          </w:p>
        </w:tc>
      </w:tr>
      <w:tr w14:paraId="381B95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493" w:type="pct"/>
            <w:noWrap w:val="0"/>
            <w:vAlign w:val="center"/>
          </w:tcPr>
          <w:p w14:paraId="3CCB086C">
            <w:pPr>
              <w:spacing w:before="65" w:line="232" w:lineRule="auto"/>
              <w:jc w:val="center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艺体类</w:t>
            </w:r>
          </w:p>
        </w:tc>
        <w:tc>
          <w:tcPr>
            <w:tcW w:w="886" w:type="pct"/>
            <w:noWrap w:val="0"/>
            <w:vAlign w:val="center"/>
          </w:tcPr>
          <w:p w14:paraId="5EA5FF88">
            <w:pPr>
              <w:spacing w:before="65" w:line="289" w:lineRule="auto"/>
              <w:ind w:right="147"/>
              <w:jc w:val="center"/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人工智能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导论</w:t>
            </w:r>
            <w:r>
              <w:rPr>
                <w:rFonts w:ascii="仿宋" w:hAnsi="仿宋" w:eastAsia="仿宋" w:cs="仿宋"/>
                <w:b/>
                <w:bCs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  <w:t>艺体版）</w:t>
            </w:r>
          </w:p>
        </w:tc>
        <w:tc>
          <w:tcPr>
            <w:tcW w:w="957" w:type="dxa"/>
            <w:noWrap w:val="0"/>
            <w:vAlign w:val="center"/>
          </w:tcPr>
          <w:p w14:paraId="0A43A77D">
            <w:pPr>
              <w:spacing w:before="57" w:line="195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2025年春</w:t>
            </w:r>
          </w:p>
        </w:tc>
        <w:tc>
          <w:tcPr>
            <w:tcW w:w="1039" w:type="dxa"/>
            <w:noWrap w:val="0"/>
            <w:vAlign w:val="center"/>
          </w:tcPr>
          <w:p w14:paraId="3A6BC709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1344" w:type="dxa"/>
            <w:noWrap w:val="0"/>
            <w:vAlign w:val="center"/>
          </w:tcPr>
          <w:p w14:paraId="4CD44601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69" w:type="pct"/>
            <w:noWrap w:val="0"/>
            <w:vAlign w:val="center"/>
          </w:tcPr>
          <w:p w14:paraId="4C80C6AB">
            <w:pPr>
              <w:spacing w:before="167" w:line="288" w:lineRule="auto"/>
              <w:ind w:right="10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所有艺体类专业可选</w:t>
            </w:r>
          </w:p>
        </w:tc>
        <w:tc>
          <w:tcPr>
            <w:tcW w:w="475" w:type="pct"/>
            <w:noWrap w:val="0"/>
            <w:vAlign w:val="center"/>
          </w:tcPr>
          <w:p w14:paraId="44FA50FF">
            <w:pPr>
              <w:spacing w:before="58" w:line="195" w:lineRule="auto"/>
              <w:jc w:val="center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2"/>
                <w:sz w:val="24"/>
                <w:szCs w:val="24"/>
                <w:lang w:val="en-US" w:eastAsia="zh-CN"/>
              </w:rPr>
              <w:t>100</w:t>
            </w:r>
          </w:p>
        </w:tc>
      </w:tr>
    </w:tbl>
    <w:p w14:paraId="21C0C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9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b/>
          <w:bCs/>
          <w:spacing w:val="9"/>
          <w:sz w:val="32"/>
          <w:szCs w:val="32"/>
          <w:lang w:val="en-US" w:eastAsia="zh-CN"/>
        </w:rPr>
        <w:t>全面开设阶段：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学校统一开设人工智能通识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必修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课，课程设置为2学分，在第1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学年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开课，从202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级起，所有学生均须修读该课程。课程内容注重“理工贯通、文理兼容”，同时结合不同专业的人才培养需求，采用模块化设计，面向理工类专业开设《计算思维与人工智能导论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（理工版）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》，面向管文类专业开设《计算思维与人工智能导论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（管文版）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，面向艺体类专业开设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（艺体版）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》。设置方案见表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。</w:t>
      </w:r>
    </w:p>
    <w:p w14:paraId="75B14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楷体" w:cs="仿宋"/>
          <w:spacing w:val="9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>表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 xml:space="preserve">  </w:t>
      </w:r>
      <w:bookmarkStart w:id="1" w:name="_GoBack"/>
      <w:bookmarkEnd w:id="1"/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>人工智能通识课设置方案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zh-CN"/>
        </w:rPr>
        <w:t>（参考）</w:t>
      </w:r>
    </w:p>
    <w:p w14:paraId="55C11F13">
      <w:pPr>
        <w:spacing w:line="115" w:lineRule="exact"/>
      </w:pPr>
    </w:p>
    <w:tbl>
      <w:tblPr>
        <w:tblStyle w:val="8"/>
        <w:tblW w:w="5012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959"/>
        <w:gridCol w:w="699"/>
        <w:gridCol w:w="557"/>
        <w:gridCol w:w="632"/>
        <w:gridCol w:w="4307"/>
        <w:gridCol w:w="841"/>
      </w:tblGrid>
      <w:tr w14:paraId="2904D2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94" w:type="pct"/>
            <w:noWrap w:val="0"/>
            <w:vAlign w:val="center"/>
          </w:tcPr>
          <w:p w14:paraId="53A722B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专业</w:t>
            </w:r>
          </w:p>
          <w:p w14:paraId="2D157F4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540" w:type="pct"/>
            <w:noWrap w:val="0"/>
            <w:vAlign w:val="center"/>
          </w:tcPr>
          <w:p w14:paraId="5579B8B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课程名称</w:t>
            </w:r>
          </w:p>
        </w:tc>
        <w:tc>
          <w:tcPr>
            <w:tcW w:w="394" w:type="pct"/>
            <w:noWrap w:val="0"/>
            <w:vAlign w:val="center"/>
          </w:tcPr>
          <w:p w14:paraId="262187C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开课</w:t>
            </w:r>
          </w:p>
          <w:p w14:paraId="2039631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学期</w:t>
            </w:r>
          </w:p>
        </w:tc>
        <w:tc>
          <w:tcPr>
            <w:tcW w:w="314" w:type="pct"/>
            <w:noWrap w:val="0"/>
            <w:vAlign w:val="center"/>
          </w:tcPr>
          <w:p w14:paraId="152FA8D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学时</w:t>
            </w:r>
          </w:p>
        </w:tc>
        <w:tc>
          <w:tcPr>
            <w:tcW w:w="356" w:type="pct"/>
            <w:noWrap w:val="0"/>
            <w:vAlign w:val="center"/>
          </w:tcPr>
          <w:p w14:paraId="5BC53A6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学分</w:t>
            </w:r>
          </w:p>
        </w:tc>
        <w:tc>
          <w:tcPr>
            <w:tcW w:w="2426" w:type="pct"/>
            <w:noWrap w:val="0"/>
            <w:vAlign w:val="center"/>
          </w:tcPr>
          <w:p w14:paraId="13FCEBE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74" w:type="pct"/>
            <w:noWrap w:val="0"/>
            <w:vAlign w:val="center"/>
          </w:tcPr>
          <w:p w14:paraId="331C72B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学生数</w:t>
            </w:r>
          </w:p>
        </w:tc>
      </w:tr>
      <w:tr w14:paraId="517F6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</w:trPr>
        <w:tc>
          <w:tcPr>
            <w:tcW w:w="494" w:type="pct"/>
            <w:noWrap w:val="0"/>
            <w:vAlign w:val="center"/>
          </w:tcPr>
          <w:p w14:paraId="09E06C21">
            <w:pPr>
              <w:spacing w:before="65" w:line="233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理工类</w:t>
            </w:r>
          </w:p>
        </w:tc>
        <w:tc>
          <w:tcPr>
            <w:tcW w:w="540" w:type="pct"/>
            <w:noWrap w:val="0"/>
            <w:vAlign w:val="center"/>
          </w:tcPr>
          <w:p w14:paraId="5563DCCE">
            <w:pPr>
              <w:spacing w:before="65" w:line="289" w:lineRule="auto"/>
              <w:ind w:right="14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人工智能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导论</w:t>
            </w:r>
            <w:r>
              <w:rPr>
                <w:rFonts w:ascii="仿宋" w:hAnsi="仿宋" w:eastAsia="仿宋" w:cs="仿宋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（理工版）</w:t>
            </w:r>
          </w:p>
        </w:tc>
        <w:tc>
          <w:tcPr>
            <w:tcW w:w="394" w:type="pct"/>
            <w:noWrap w:val="0"/>
            <w:vAlign w:val="center"/>
          </w:tcPr>
          <w:p w14:paraId="7E6BBEB0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314" w:type="pct"/>
            <w:noWrap w:val="0"/>
            <w:vAlign w:val="center"/>
          </w:tcPr>
          <w:p w14:paraId="19DD32A1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356" w:type="pct"/>
            <w:noWrap w:val="0"/>
            <w:vAlign w:val="center"/>
          </w:tcPr>
          <w:p w14:paraId="7EF8B946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426" w:type="pct"/>
            <w:noWrap w:val="0"/>
            <w:vAlign w:val="center"/>
          </w:tcPr>
          <w:p w14:paraId="0EB42B31">
            <w:pPr>
              <w:spacing w:before="171" w:line="288" w:lineRule="auto"/>
              <w:ind w:right="38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  <w:t>机械设计制造及其自动化、机械电子工程、电子封装技术、电气工程及其自动化、车辆工程、智能制造工程</w:t>
            </w: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  <w:lang w:eastAsia="zh-CN"/>
              </w:rPr>
              <w:t>、通信工程、电子信息工程、电子科学与技术、微电子科学与工程、导航工程、计算机科学与技术、软件工程、物联网工程、信息安全、智能科学与技术、网络空间安全、密码科学与技术、信息与计算科学、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数字媒体技术、</w:t>
            </w: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  <w:lang w:eastAsia="zh-CN"/>
              </w:rPr>
              <w:t>应用统计学、数学与应用数学、测控技术与仪器、自动化、智能感知工程、智能</w:t>
            </w: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  <w:lang w:val="en-US" w:eastAsia="zh-CN"/>
              </w:rPr>
              <w:t>装备</w:t>
            </w: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  <w:lang w:eastAsia="zh-CN"/>
              </w:rPr>
              <w:t>与系统、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材料科学与工程、材料成型及控制工程、高分子材料与工程、新能源材料与器件、光电信息材料与器件、环境工程、生物医学工程、交通工程、建筑环境与能源应用工程、土木工程、建筑电气与智能化、智慧交通、人工智能、机器人工程、数据科学与大数据技术、光电信息科学与工程、智能视觉工程、机械工程、船舶电子电气工程、</w:t>
            </w: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  <w:lang w:eastAsia="zh-CN"/>
              </w:rPr>
              <w:t>电信工程及管理、电子信息科学与技术、大数据管理与应用、网络工程</w:t>
            </w:r>
          </w:p>
        </w:tc>
        <w:tc>
          <w:tcPr>
            <w:tcW w:w="474" w:type="pct"/>
            <w:noWrap w:val="0"/>
            <w:vAlign w:val="center"/>
          </w:tcPr>
          <w:p w14:paraId="7CCA0AAD">
            <w:pPr>
              <w:spacing w:before="58" w:line="195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6000</w:t>
            </w:r>
          </w:p>
        </w:tc>
      </w:tr>
      <w:tr w14:paraId="3E627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494" w:type="pct"/>
            <w:noWrap w:val="0"/>
            <w:vAlign w:val="center"/>
          </w:tcPr>
          <w:p w14:paraId="2FF2E326">
            <w:pPr>
              <w:spacing w:before="65" w:line="23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管文类</w:t>
            </w:r>
          </w:p>
        </w:tc>
        <w:tc>
          <w:tcPr>
            <w:tcW w:w="540" w:type="pct"/>
            <w:noWrap w:val="0"/>
            <w:vAlign w:val="center"/>
          </w:tcPr>
          <w:p w14:paraId="4450C033">
            <w:pPr>
              <w:spacing w:before="65" w:line="289" w:lineRule="auto"/>
              <w:ind w:right="14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人工智能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导论</w:t>
            </w:r>
            <w:r>
              <w:rPr>
                <w:rFonts w:ascii="仿宋" w:hAnsi="仿宋" w:eastAsia="仿宋" w:cs="仿宋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（管文版）</w:t>
            </w:r>
          </w:p>
        </w:tc>
        <w:tc>
          <w:tcPr>
            <w:tcW w:w="394" w:type="pct"/>
            <w:noWrap w:val="0"/>
            <w:vAlign w:val="center"/>
          </w:tcPr>
          <w:p w14:paraId="06A4693A">
            <w:pPr>
              <w:spacing w:before="58" w:line="195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4" w:type="pct"/>
            <w:noWrap w:val="0"/>
            <w:vAlign w:val="center"/>
          </w:tcPr>
          <w:p w14:paraId="40A95160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356" w:type="pct"/>
            <w:noWrap w:val="0"/>
            <w:vAlign w:val="center"/>
          </w:tcPr>
          <w:p w14:paraId="55D886D6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426" w:type="pct"/>
            <w:noWrap w:val="0"/>
            <w:vAlign w:val="center"/>
          </w:tcPr>
          <w:p w14:paraId="1B78DC78">
            <w:pPr>
              <w:spacing w:before="167" w:line="288" w:lineRule="auto"/>
              <w:ind w:right="10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工业工程、会计学、信息管理与信息系统、市场营销、财务管理、金融工程、电子商务、人力资源管理、数字经济、英语、日语、汉语国际教育、法学、知识产权、国际经贸规则、物流管理</w:t>
            </w:r>
          </w:p>
        </w:tc>
        <w:tc>
          <w:tcPr>
            <w:tcW w:w="474" w:type="pct"/>
            <w:noWrap w:val="0"/>
            <w:vAlign w:val="center"/>
          </w:tcPr>
          <w:p w14:paraId="0D42B2DE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-2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14:paraId="5BD28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494" w:type="pct"/>
            <w:shd w:val="clear" w:color="auto" w:fill="auto"/>
            <w:noWrap w:val="0"/>
            <w:vAlign w:val="center"/>
          </w:tcPr>
          <w:p w14:paraId="67C255C8">
            <w:pPr>
              <w:spacing w:before="65" w:line="232" w:lineRule="auto"/>
              <w:jc w:val="center"/>
              <w:rPr>
                <w:rFonts w:ascii="仿宋" w:hAnsi="仿宋" w:eastAsia="仿宋" w:cs="仿宋"/>
                <w:spacing w:val="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艺体类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3124723E">
            <w:pPr>
              <w:spacing w:before="65" w:line="289" w:lineRule="auto"/>
              <w:ind w:right="147" w:rightChars="0"/>
              <w:jc w:val="center"/>
              <w:rPr>
                <w:rFonts w:hint="eastAsia" w:ascii="仿宋" w:hAnsi="仿宋" w:eastAsia="仿宋" w:cs="仿宋"/>
                <w:spacing w:val="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计算思维与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人工智能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导论</w:t>
            </w:r>
            <w:r>
              <w:rPr>
                <w:rFonts w:ascii="仿宋" w:hAnsi="仿宋" w:eastAsia="仿宋" w:cs="仿宋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val="en-US" w:eastAsia="zh-CN"/>
              </w:rPr>
              <w:t>艺体版）</w:t>
            </w:r>
          </w:p>
        </w:tc>
        <w:tc>
          <w:tcPr>
            <w:tcW w:w="394" w:type="pct"/>
            <w:shd w:val="clear" w:color="auto" w:fill="auto"/>
            <w:noWrap w:val="0"/>
            <w:vAlign w:val="center"/>
          </w:tcPr>
          <w:p w14:paraId="3D02ECEE">
            <w:pPr>
              <w:spacing w:before="57" w:line="195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14" w:type="pct"/>
            <w:shd w:val="clear" w:color="auto" w:fill="auto"/>
            <w:noWrap w:val="0"/>
            <w:vAlign w:val="center"/>
          </w:tcPr>
          <w:p w14:paraId="625E513A">
            <w:pPr>
              <w:spacing w:before="58" w:line="195" w:lineRule="auto"/>
              <w:jc w:val="center"/>
              <w:rPr>
                <w:rFonts w:ascii="Times New Roman" w:hAnsi="Times New Roman" w:eastAsia="Times New Roman" w:cs="Times New Roman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32</w:t>
            </w:r>
          </w:p>
        </w:tc>
        <w:tc>
          <w:tcPr>
            <w:tcW w:w="356" w:type="pct"/>
            <w:shd w:val="clear" w:color="auto" w:fill="auto"/>
            <w:noWrap w:val="0"/>
            <w:vAlign w:val="center"/>
          </w:tcPr>
          <w:p w14:paraId="43236B92">
            <w:pPr>
              <w:spacing w:before="57" w:line="195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426" w:type="pct"/>
            <w:shd w:val="clear" w:color="auto" w:fill="auto"/>
            <w:noWrap w:val="0"/>
            <w:vAlign w:val="center"/>
          </w:tcPr>
          <w:p w14:paraId="28072D83">
            <w:pPr>
              <w:spacing w:before="167" w:line="288" w:lineRule="auto"/>
              <w:ind w:right="106" w:rightChars="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产品设计、视觉传达设计、动画、环境设计、服装与服饰设计、表演、工业设计、工艺美术、数字媒体艺术、公共艺术</w:t>
            </w:r>
          </w:p>
        </w:tc>
        <w:tc>
          <w:tcPr>
            <w:tcW w:w="474" w:type="pct"/>
            <w:shd w:val="clear" w:color="auto" w:fill="auto"/>
            <w:noWrap w:val="0"/>
            <w:vAlign w:val="center"/>
          </w:tcPr>
          <w:p w14:paraId="636B18FF">
            <w:pPr>
              <w:spacing w:before="58" w:line="195" w:lineRule="auto"/>
              <w:jc w:val="center"/>
              <w:rPr>
                <w:rFonts w:hint="default" w:ascii="Times New Roman" w:hAnsi="Times New Roman" w:eastAsia="宋体" w:cs="Times New Roman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pacing w:val="-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pacing w:val="-2"/>
                <w:sz w:val="24"/>
                <w:szCs w:val="24"/>
                <w:lang w:val="en-US" w:eastAsia="zh-CN"/>
              </w:rPr>
              <w:t>00</w:t>
            </w:r>
          </w:p>
        </w:tc>
      </w:tr>
    </w:tbl>
    <w:p w14:paraId="790D6BDE">
      <w:pPr>
        <w:rPr>
          <w:rFonts w:ascii="Arial"/>
          <w:sz w:val="21"/>
        </w:rPr>
      </w:pPr>
    </w:p>
    <w:p w14:paraId="0C3632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二、课程内容与教学方式</w:t>
      </w:r>
    </w:p>
    <w:p w14:paraId="59026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（理工版）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（管文版）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》《计算思维与人工智能导论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（艺体版）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》教学内容均分为四个模块：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通识基础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、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算法原理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、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交叉融合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和实践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创新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。</w:t>
      </w:r>
    </w:p>
    <w:p w14:paraId="13EA2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模块一：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通识基础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，为面向大一新生的人工智能通识素养内容，目的是建立人工智能的正确认知，了解新一代人工智能的体系与框架，建立学习兴趣。</w:t>
      </w:r>
    </w:p>
    <w:p w14:paraId="478AC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模块二：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算法原理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，侧重新一代人工智能工程化体系认知的建立，侧重理工贯通、问题驱动，结合新一代人工智能发展归因，以人本思维着力塑造低年级学生的人工智能正确认知，贯通计算思维、数据思维、迭代思维、开源思维等，理解人机共生的协创未来。</w:t>
      </w:r>
    </w:p>
    <w:p w14:paraId="6669E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模块三：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交叉融合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，包含大量“人工智能+X”典型应用案例，如“AI+机器人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”“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AI+制造”等人工智能在各个行业领域的融合与应用。学生可以根据自身需求有选择的学习。</w:t>
      </w:r>
    </w:p>
    <w:p w14:paraId="35254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模块四：实践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创新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，遵循“四个一”原则，即完成一次课堂实验、参加一次现场实践活动、完成一项课程设计、参加一次学科竞赛，完成以上四项中的任一项即可获得对应学时。</w:t>
      </w:r>
    </w:p>
    <w:p w14:paraId="2AE4E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结合学校人工智能特色优势资源，并充分利用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自治区教育厅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统筹提供的优质资源，采用“线上+线下”结合的方式开展课程教学。课程内容学时分配和教学组织形式见表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。</w:t>
      </w:r>
    </w:p>
    <w:p w14:paraId="24C16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>表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 xml:space="preserve">  人工智能通识课学时分配和教学组织形式</w:t>
      </w:r>
    </w:p>
    <w:tbl>
      <w:tblPr>
        <w:tblStyle w:val="8"/>
        <w:tblW w:w="5026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098"/>
        <w:gridCol w:w="1091"/>
        <w:gridCol w:w="1145"/>
        <w:gridCol w:w="4299"/>
      </w:tblGrid>
      <w:tr w14:paraId="16D05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10" w:type="pct"/>
            <w:noWrap w:val="0"/>
            <w:vAlign w:val="center"/>
          </w:tcPr>
          <w:p w14:paraId="76B66CA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课程内容模块</w:t>
            </w:r>
          </w:p>
        </w:tc>
        <w:tc>
          <w:tcPr>
            <w:tcW w:w="617" w:type="pct"/>
            <w:noWrap w:val="0"/>
            <w:vAlign w:val="center"/>
          </w:tcPr>
          <w:p w14:paraId="66FD1FA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计算思维与人工智能导论（理工版）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课程学时</w:t>
            </w:r>
          </w:p>
        </w:tc>
        <w:tc>
          <w:tcPr>
            <w:tcW w:w="613" w:type="pct"/>
            <w:noWrap w:val="0"/>
            <w:vAlign w:val="center"/>
          </w:tcPr>
          <w:p w14:paraId="599551B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计算思维与人工智能导论（管文版）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课程学时</w:t>
            </w:r>
          </w:p>
        </w:tc>
        <w:tc>
          <w:tcPr>
            <w:tcW w:w="643" w:type="pct"/>
            <w:noWrap w:val="0"/>
            <w:vAlign w:val="center"/>
          </w:tcPr>
          <w:p w14:paraId="4CA6413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计算思维与人工智能导论（艺体版）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课程学时</w:t>
            </w:r>
          </w:p>
        </w:tc>
        <w:tc>
          <w:tcPr>
            <w:tcW w:w="2415" w:type="pct"/>
            <w:noWrap w:val="0"/>
            <w:vAlign w:val="center"/>
          </w:tcPr>
          <w:p w14:paraId="2266952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教学组织形式</w:t>
            </w:r>
          </w:p>
        </w:tc>
      </w:tr>
      <w:tr w14:paraId="5E08F8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10" w:type="pct"/>
            <w:noWrap w:val="0"/>
            <w:vAlign w:val="center"/>
          </w:tcPr>
          <w:p w14:paraId="318A9540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模块一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通识基础</w:t>
            </w:r>
          </w:p>
        </w:tc>
        <w:tc>
          <w:tcPr>
            <w:tcW w:w="617" w:type="pct"/>
            <w:noWrap w:val="0"/>
            <w:vAlign w:val="center"/>
          </w:tcPr>
          <w:p w14:paraId="234CF281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12</w:t>
            </w:r>
          </w:p>
        </w:tc>
        <w:tc>
          <w:tcPr>
            <w:tcW w:w="613" w:type="pct"/>
            <w:noWrap w:val="0"/>
            <w:vAlign w:val="center"/>
          </w:tcPr>
          <w:p w14:paraId="755462B3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10</w:t>
            </w:r>
          </w:p>
        </w:tc>
        <w:tc>
          <w:tcPr>
            <w:tcW w:w="643" w:type="pct"/>
            <w:noWrap w:val="0"/>
            <w:vAlign w:val="center"/>
          </w:tcPr>
          <w:p w14:paraId="25DEAE2D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15" w:type="pct"/>
            <w:noWrap w:val="0"/>
            <w:vAlign w:val="center"/>
          </w:tcPr>
          <w:p w14:paraId="79D0B235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线上+线下结合：教师指导下利用“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广西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人工智能通识”优质资源开展教学。</w:t>
            </w:r>
          </w:p>
        </w:tc>
      </w:tr>
      <w:tr w14:paraId="5DA29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10" w:type="pct"/>
            <w:noWrap w:val="0"/>
            <w:vAlign w:val="center"/>
          </w:tcPr>
          <w:p w14:paraId="232E0A5E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模块二：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算法原理</w:t>
            </w:r>
          </w:p>
        </w:tc>
        <w:tc>
          <w:tcPr>
            <w:tcW w:w="617" w:type="pct"/>
            <w:noWrap w:val="0"/>
            <w:vAlign w:val="center"/>
          </w:tcPr>
          <w:p w14:paraId="51383579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8</w:t>
            </w:r>
          </w:p>
        </w:tc>
        <w:tc>
          <w:tcPr>
            <w:tcW w:w="613" w:type="pct"/>
            <w:noWrap w:val="0"/>
            <w:vAlign w:val="center"/>
          </w:tcPr>
          <w:p w14:paraId="5D157355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4</w:t>
            </w:r>
          </w:p>
        </w:tc>
        <w:tc>
          <w:tcPr>
            <w:tcW w:w="643" w:type="pct"/>
            <w:noWrap w:val="0"/>
            <w:vAlign w:val="center"/>
          </w:tcPr>
          <w:p w14:paraId="64B96B82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5" w:type="pct"/>
            <w:noWrap w:val="0"/>
            <w:vAlign w:val="center"/>
          </w:tcPr>
          <w:p w14:paraId="286B8026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线上+线下结合：教师指导下利用“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广西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人工智能通识课”优质资源开展教学。</w:t>
            </w:r>
          </w:p>
        </w:tc>
      </w:tr>
      <w:tr w14:paraId="2D7E63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10" w:type="pct"/>
            <w:noWrap w:val="0"/>
            <w:vAlign w:val="center"/>
          </w:tcPr>
          <w:p w14:paraId="2F69EE97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模块三：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交叉融合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（AI+X个性化）</w:t>
            </w:r>
          </w:p>
        </w:tc>
        <w:tc>
          <w:tcPr>
            <w:tcW w:w="617" w:type="pct"/>
            <w:noWrap w:val="0"/>
            <w:vAlign w:val="center"/>
          </w:tcPr>
          <w:p w14:paraId="6BC112C3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8</w:t>
            </w:r>
          </w:p>
        </w:tc>
        <w:tc>
          <w:tcPr>
            <w:tcW w:w="613" w:type="pct"/>
            <w:noWrap w:val="0"/>
            <w:vAlign w:val="center"/>
          </w:tcPr>
          <w:p w14:paraId="0D60F27E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10</w:t>
            </w:r>
          </w:p>
        </w:tc>
        <w:tc>
          <w:tcPr>
            <w:tcW w:w="643" w:type="pct"/>
            <w:noWrap w:val="0"/>
            <w:vAlign w:val="center"/>
          </w:tcPr>
          <w:p w14:paraId="5C6BB879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15" w:type="pct"/>
            <w:noWrap w:val="0"/>
            <w:vAlign w:val="center"/>
          </w:tcPr>
          <w:p w14:paraId="04D78B1B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线上+线下结合：教师指导下利用“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广西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人工智能通识课”优质资源开展教学。</w:t>
            </w:r>
          </w:p>
        </w:tc>
      </w:tr>
      <w:tr w14:paraId="6954B1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710" w:type="pct"/>
            <w:noWrap w:val="0"/>
            <w:vAlign w:val="center"/>
          </w:tcPr>
          <w:p w14:paraId="5048729F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模块四：实践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创新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（AI+实践）</w:t>
            </w:r>
          </w:p>
        </w:tc>
        <w:tc>
          <w:tcPr>
            <w:tcW w:w="617" w:type="pct"/>
            <w:noWrap w:val="0"/>
            <w:vAlign w:val="center"/>
          </w:tcPr>
          <w:p w14:paraId="50CEFD09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4</w:t>
            </w:r>
          </w:p>
        </w:tc>
        <w:tc>
          <w:tcPr>
            <w:tcW w:w="613" w:type="pct"/>
            <w:noWrap w:val="0"/>
            <w:vAlign w:val="center"/>
          </w:tcPr>
          <w:p w14:paraId="706617E8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8</w:t>
            </w:r>
          </w:p>
        </w:tc>
        <w:tc>
          <w:tcPr>
            <w:tcW w:w="643" w:type="pct"/>
            <w:noWrap w:val="0"/>
            <w:vAlign w:val="center"/>
          </w:tcPr>
          <w:p w14:paraId="4E4E27E9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15" w:type="pct"/>
            <w:noWrap w:val="0"/>
            <w:vAlign w:val="center"/>
          </w:tcPr>
          <w:p w14:paraId="04C05837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线下教学：理工类专业可以结合专业领域开展计算机视觉、自动控制、语言理解等方面的课程设计或学科竞赛、现场参观实践活动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。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管文类则可以利用大模型资源，通过接口调用完成例如机器翻译、自媒体生成等课程设计或学科竞赛、现场参观实践活动。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艺体类专业可结合专业领域开设现场实践活动、课程设计、学科竞赛。</w:t>
            </w:r>
          </w:p>
        </w:tc>
      </w:tr>
      <w:tr w14:paraId="407B5F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10" w:type="pct"/>
            <w:noWrap w:val="0"/>
            <w:vAlign w:val="center"/>
          </w:tcPr>
          <w:p w14:paraId="514447DC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合计</w:t>
            </w:r>
          </w:p>
        </w:tc>
        <w:tc>
          <w:tcPr>
            <w:tcW w:w="617" w:type="pct"/>
            <w:noWrap w:val="0"/>
            <w:vAlign w:val="center"/>
          </w:tcPr>
          <w:p w14:paraId="40B09AE7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32</w:t>
            </w:r>
          </w:p>
        </w:tc>
        <w:tc>
          <w:tcPr>
            <w:tcW w:w="613" w:type="pct"/>
            <w:noWrap w:val="0"/>
            <w:vAlign w:val="center"/>
          </w:tcPr>
          <w:p w14:paraId="5EBBCB6E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32</w:t>
            </w:r>
          </w:p>
        </w:tc>
        <w:tc>
          <w:tcPr>
            <w:tcW w:w="643" w:type="pct"/>
            <w:noWrap w:val="0"/>
            <w:vAlign w:val="center"/>
          </w:tcPr>
          <w:p w14:paraId="6B12225F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415" w:type="pct"/>
            <w:noWrap w:val="0"/>
            <w:vAlign w:val="center"/>
          </w:tcPr>
          <w:p w14:paraId="02AB6DF6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  <w:lang w:val="en-US" w:eastAsia="en-US"/>
              </w:rPr>
            </w:pPr>
          </w:p>
        </w:tc>
      </w:tr>
    </w:tbl>
    <w:p w14:paraId="4A4BD9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</w:pPr>
    </w:p>
    <w:p w14:paraId="0256E7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三、课程考核评价方法</w:t>
      </w:r>
    </w:p>
    <w:p w14:paraId="28A0A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《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计算思维与人工智能导论（理工版）》《计算思维与人工智能导论（管文版）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》《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计算思维与人工智能导论（艺体版）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》均采用分模块考核方式，侧重过程考核，全过程数据驱动的学习评价。课程采取百分制计分方式。模块一、二依托课程平台实施考核。模块三根据线下教学和学生线上学习情况，结合学生撰写的学习报告进行考核。模块四根据学生完成的课堂实验、现场实践活动、课程设计、学科竞赛等实践实训情况进行考核。具体考核方式和考核占比如表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所示。</w:t>
      </w:r>
    </w:p>
    <w:p w14:paraId="0A81B23F">
      <w:pPr>
        <w:pStyle w:val="2"/>
        <w:rPr>
          <w:rFonts w:hint="eastAsia"/>
          <w:lang w:val="en-US" w:eastAsia="en-US"/>
        </w:rPr>
      </w:pPr>
    </w:p>
    <w:p w14:paraId="180D8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</w:pPr>
    </w:p>
    <w:p w14:paraId="47043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</w:pPr>
    </w:p>
    <w:p w14:paraId="3BB64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>表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楷体"/>
          <w:spacing w:val="9"/>
          <w:sz w:val="32"/>
          <w:szCs w:val="32"/>
          <w:lang w:val="en-US" w:eastAsia="en-US"/>
        </w:rPr>
        <w:t xml:space="preserve">  人工智能通识课考核评价方法</w:t>
      </w:r>
    </w:p>
    <w:tbl>
      <w:tblPr>
        <w:tblStyle w:val="8"/>
        <w:tblW w:w="91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1700"/>
        <w:gridCol w:w="1700"/>
        <w:gridCol w:w="1871"/>
        <w:gridCol w:w="1871"/>
      </w:tblGrid>
      <w:tr w14:paraId="3B770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984" w:type="dxa"/>
            <w:noWrap w:val="0"/>
            <w:vAlign w:val="center"/>
          </w:tcPr>
          <w:p w14:paraId="5ED6430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课程内容模块</w:t>
            </w:r>
          </w:p>
        </w:tc>
        <w:tc>
          <w:tcPr>
            <w:tcW w:w="1700" w:type="dxa"/>
            <w:noWrap w:val="0"/>
            <w:vAlign w:val="center"/>
          </w:tcPr>
          <w:p w14:paraId="16FB375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计算思维与人工智能导论（理工版）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 xml:space="preserve"> 考核成绩占比</w:t>
            </w:r>
          </w:p>
        </w:tc>
        <w:tc>
          <w:tcPr>
            <w:tcW w:w="1700" w:type="dxa"/>
            <w:noWrap w:val="0"/>
            <w:vAlign w:val="center"/>
          </w:tcPr>
          <w:p w14:paraId="0BB8589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计算思维与人工智能导论（管文版）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 xml:space="preserve"> 考核成绩占比</w:t>
            </w:r>
          </w:p>
        </w:tc>
        <w:tc>
          <w:tcPr>
            <w:tcW w:w="1871" w:type="dxa"/>
            <w:noWrap w:val="0"/>
            <w:vAlign w:val="center"/>
          </w:tcPr>
          <w:p w14:paraId="77B2F60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snapToGrid/>
                <w:kern w:val="2"/>
                <w:sz w:val="24"/>
                <w:szCs w:val="24"/>
                <w:lang w:eastAsia="zh-CN"/>
              </w:rPr>
              <w:t>计算思维与人工智能导论（艺体版）</w:t>
            </w: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 xml:space="preserve"> 考核成绩占比</w:t>
            </w:r>
          </w:p>
        </w:tc>
        <w:tc>
          <w:tcPr>
            <w:tcW w:w="1871" w:type="dxa"/>
            <w:noWrap w:val="0"/>
            <w:vAlign w:val="center"/>
          </w:tcPr>
          <w:p w14:paraId="19CFB5F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Times New Roman"/>
                <w:b/>
                <w:snapToGrid/>
                <w:kern w:val="2"/>
                <w:sz w:val="24"/>
                <w:szCs w:val="24"/>
                <w:lang w:eastAsia="zh-CN"/>
              </w:rPr>
              <w:t>考核方式</w:t>
            </w:r>
          </w:p>
        </w:tc>
      </w:tr>
      <w:tr w14:paraId="50F747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984" w:type="dxa"/>
            <w:noWrap w:val="0"/>
            <w:vAlign w:val="center"/>
          </w:tcPr>
          <w:p w14:paraId="6E36AEF3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模块一：通识基础</w:t>
            </w:r>
          </w:p>
        </w:tc>
        <w:tc>
          <w:tcPr>
            <w:tcW w:w="1700" w:type="dxa"/>
            <w:noWrap w:val="0"/>
            <w:vAlign w:val="center"/>
          </w:tcPr>
          <w:p w14:paraId="102E588F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40%</w:t>
            </w:r>
          </w:p>
        </w:tc>
        <w:tc>
          <w:tcPr>
            <w:tcW w:w="1700" w:type="dxa"/>
            <w:noWrap w:val="0"/>
            <w:vAlign w:val="center"/>
          </w:tcPr>
          <w:p w14:paraId="7340999B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35%</w:t>
            </w:r>
          </w:p>
        </w:tc>
        <w:tc>
          <w:tcPr>
            <w:tcW w:w="1871" w:type="dxa"/>
            <w:noWrap w:val="0"/>
            <w:vAlign w:val="center"/>
          </w:tcPr>
          <w:p w14:paraId="7BD21BEC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30%</w:t>
            </w:r>
          </w:p>
        </w:tc>
        <w:tc>
          <w:tcPr>
            <w:tcW w:w="1871" w:type="dxa"/>
            <w:noWrap w:val="0"/>
            <w:vAlign w:val="center"/>
          </w:tcPr>
          <w:p w14:paraId="56BE0CE3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平台线上考核。</w:t>
            </w:r>
          </w:p>
        </w:tc>
      </w:tr>
      <w:tr w14:paraId="1B502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84" w:type="dxa"/>
            <w:noWrap w:val="0"/>
            <w:vAlign w:val="center"/>
          </w:tcPr>
          <w:p w14:paraId="083F7601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模块二：算法原理</w:t>
            </w:r>
          </w:p>
        </w:tc>
        <w:tc>
          <w:tcPr>
            <w:tcW w:w="1700" w:type="dxa"/>
            <w:noWrap w:val="0"/>
            <w:vAlign w:val="center"/>
          </w:tcPr>
          <w:p w14:paraId="68EA576A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20%</w:t>
            </w:r>
          </w:p>
        </w:tc>
        <w:tc>
          <w:tcPr>
            <w:tcW w:w="1700" w:type="dxa"/>
            <w:noWrap w:val="0"/>
            <w:vAlign w:val="center"/>
          </w:tcPr>
          <w:p w14:paraId="76554C1F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15%</w:t>
            </w:r>
          </w:p>
        </w:tc>
        <w:tc>
          <w:tcPr>
            <w:tcW w:w="1871" w:type="dxa"/>
            <w:noWrap w:val="0"/>
            <w:vAlign w:val="center"/>
          </w:tcPr>
          <w:p w14:paraId="4F85B4B1">
            <w:pPr>
              <w:spacing w:before="65" w:line="233" w:lineRule="auto"/>
              <w:jc w:val="center"/>
              <w:rPr>
                <w:rFonts w:hint="default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20%</w:t>
            </w:r>
          </w:p>
        </w:tc>
        <w:tc>
          <w:tcPr>
            <w:tcW w:w="1871" w:type="dxa"/>
            <w:noWrap w:val="0"/>
            <w:vAlign w:val="center"/>
          </w:tcPr>
          <w:p w14:paraId="18575C3C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平台线上考核。</w:t>
            </w:r>
          </w:p>
        </w:tc>
      </w:tr>
      <w:tr w14:paraId="2B996A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84" w:type="dxa"/>
            <w:noWrap w:val="0"/>
            <w:vAlign w:val="center"/>
          </w:tcPr>
          <w:p w14:paraId="49C03772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模块三：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交叉融合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（AI+X 个性化）</w:t>
            </w:r>
          </w:p>
        </w:tc>
        <w:tc>
          <w:tcPr>
            <w:tcW w:w="1700" w:type="dxa"/>
            <w:noWrap w:val="0"/>
            <w:vAlign w:val="center"/>
          </w:tcPr>
          <w:p w14:paraId="52B6AD64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25%</w:t>
            </w:r>
          </w:p>
        </w:tc>
        <w:tc>
          <w:tcPr>
            <w:tcW w:w="1700" w:type="dxa"/>
            <w:noWrap w:val="0"/>
            <w:vAlign w:val="center"/>
          </w:tcPr>
          <w:p w14:paraId="353EB9D7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25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%</w:t>
            </w:r>
          </w:p>
        </w:tc>
        <w:tc>
          <w:tcPr>
            <w:tcW w:w="1871" w:type="dxa"/>
            <w:noWrap w:val="0"/>
            <w:vAlign w:val="center"/>
          </w:tcPr>
          <w:p w14:paraId="0C422987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0%</w:t>
            </w:r>
          </w:p>
        </w:tc>
        <w:tc>
          <w:tcPr>
            <w:tcW w:w="1871" w:type="dxa"/>
            <w:noWrap w:val="0"/>
            <w:vAlign w:val="center"/>
          </w:tcPr>
          <w:p w14:paraId="76215A3D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根据学生撰写的学习报告进行考核。</w:t>
            </w:r>
          </w:p>
        </w:tc>
      </w:tr>
      <w:tr w14:paraId="0B683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84" w:type="dxa"/>
            <w:noWrap w:val="0"/>
            <w:vAlign w:val="center"/>
          </w:tcPr>
          <w:p w14:paraId="7E3BB8FA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模块四：实践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创新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AI+实践）</w:t>
            </w:r>
          </w:p>
        </w:tc>
        <w:tc>
          <w:tcPr>
            <w:tcW w:w="1700" w:type="dxa"/>
            <w:noWrap w:val="0"/>
            <w:vAlign w:val="center"/>
          </w:tcPr>
          <w:p w14:paraId="207BB727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15%</w:t>
            </w:r>
          </w:p>
        </w:tc>
        <w:tc>
          <w:tcPr>
            <w:tcW w:w="1700" w:type="dxa"/>
            <w:noWrap w:val="0"/>
            <w:vAlign w:val="center"/>
          </w:tcPr>
          <w:p w14:paraId="0B97ADCD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25%</w:t>
            </w:r>
          </w:p>
        </w:tc>
        <w:tc>
          <w:tcPr>
            <w:tcW w:w="1871" w:type="dxa"/>
            <w:noWrap w:val="0"/>
            <w:vAlign w:val="center"/>
          </w:tcPr>
          <w:p w14:paraId="71247A35">
            <w:pPr>
              <w:spacing w:before="65" w:line="233" w:lineRule="auto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3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0%</w:t>
            </w:r>
          </w:p>
        </w:tc>
        <w:tc>
          <w:tcPr>
            <w:tcW w:w="1871" w:type="dxa"/>
            <w:noWrap w:val="0"/>
            <w:vAlign w:val="center"/>
          </w:tcPr>
          <w:p w14:paraId="3453D52A">
            <w:pPr>
              <w:spacing w:before="65" w:line="233" w:lineRule="auto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根据学生完成的实践实训情况进行考核。</w:t>
            </w:r>
          </w:p>
        </w:tc>
      </w:tr>
    </w:tbl>
    <w:p w14:paraId="48F0A0A3">
      <w:pPr>
        <w:spacing w:line="315" w:lineRule="auto"/>
        <w:rPr>
          <w:rFonts w:ascii="Arial"/>
          <w:sz w:val="21"/>
        </w:rPr>
      </w:pPr>
    </w:p>
    <w:p w14:paraId="4C5775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四、课程教学实施保障</w:t>
      </w:r>
    </w:p>
    <w:p w14:paraId="662667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（一）加强组织领导</w:t>
      </w:r>
    </w:p>
    <w:p w14:paraId="4550F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学校成立人工智能通识课虚拟教研室，负责组织全校人工智能通识课纳入人才培养方案和开课等相关事项。教务处处长担任虚拟教研室主任，教务处副处长、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人工智能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学院副院长担任虚拟教研室副主任，各教学单位教学副院长、课程任课教师为成员。</w:t>
      </w:r>
    </w:p>
    <w:p w14:paraId="5FE70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人工智能通识课负责人由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人工智能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学院副院长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李玉洁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担任，统筹负责课程大纲编制、课程教学团队组织和建设、课程教学任务分配、课程教学和考核等相关事项。</w:t>
      </w:r>
    </w:p>
    <w:p w14:paraId="639DC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人工智能通识课教学保障负责人由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  <w:t>孙莹莹</w:t>
      </w: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担任，具体负责课堂教学和学习在线学习中的软硬件对接和保障工作。</w:t>
      </w:r>
    </w:p>
    <w:p w14:paraId="61E05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各相关单位要把全面开设人工智能通识课作为重要任务，要加强领导，统筹协调，精心组织，形成合力，积极协调和动员各方面力量支持高水平开设人工智能通识课。</w:t>
      </w:r>
    </w:p>
    <w:p w14:paraId="509B0F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（二）强化支持保障</w:t>
      </w:r>
    </w:p>
    <w:p w14:paraId="0FAF7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6" w:firstLineChars="200"/>
        <w:jc w:val="both"/>
        <w:textAlignment w:val="auto"/>
        <w:rPr>
          <w:rFonts w:hint="eastAsia" w:ascii="仿宋" w:hAnsi="仿宋" w:eastAsia="仿宋" w:cs="仿宋"/>
          <w:spacing w:val="9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32"/>
          <w:szCs w:val="32"/>
          <w:lang w:val="en-US" w:eastAsia="en-US"/>
        </w:rPr>
        <w:t>学校将人工智能教育纳入优先发展领域，强化政策引导。各相关单位要优化资源配置，为人工智能改革奠定基础，着力提升教师人工智能素养和教学能力，加强与人工智能领军企业的合作。学校设立人工智能赋能课程教学改革专项，持续推动在人工智能领域的教学改革与创新。</w:t>
      </w:r>
    </w:p>
    <w:p w14:paraId="20E63084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5F5C44A5"/>
    <w:sectPr>
      <w:footerReference r:id="rId3" w:type="default"/>
      <w:pgSz w:w="11906" w:h="16838"/>
      <w:pgMar w:top="2098" w:right="1474" w:bottom="1984" w:left="1587" w:header="851" w:footer="1559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0719CD5-4773-4246-892A-48F856ADCC4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6A47EF6-4B7C-4D60-BA6D-79ACA09298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49C65F65-630B-46A0-B93E-02B7060D5D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80671FE-25D4-4C7F-89A0-B8979544788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3F128CF-A233-4758-9739-80EC0E5F399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23D609EF-1E0E-4AF1-A424-4712BB27912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70B2A">
    <w:pPr>
      <w:pStyle w:val="4"/>
      <w:jc w:val="right"/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</w:t>
    </w:r>
    <w:r>
      <w:rPr>
        <w:rStyle w:val="7"/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075D"/>
    <w:rsid w:val="055747B6"/>
    <w:rsid w:val="05D1531A"/>
    <w:rsid w:val="084D31AF"/>
    <w:rsid w:val="09336848"/>
    <w:rsid w:val="09DB3168"/>
    <w:rsid w:val="1549075D"/>
    <w:rsid w:val="16A16A6B"/>
    <w:rsid w:val="17FF6273"/>
    <w:rsid w:val="1D126A49"/>
    <w:rsid w:val="1E8219AC"/>
    <w:rsid w:val="1F354C71"/>
    <w:rsid w:val="206375BB"/>
    <w:rsid w:val="220B1CB9"/>
    <w:rsid w:val="23A3664D"/>
    <w:rsid w:val="25FFCFCF"/>
    <w:rsid w:val="28E35C02"/>
    <w:rsid w:val="2DA456B5"/>
    <w:rsid w:val="351F467A"/>
    <w:rsid w:val="3D477BF1"/>
    <w:rsid w:val="418A142B"/>
    <w:rsid w:val="4BB12B74"/>
    <w:rsid w:val="4C001D6D"/>
    <w:rsid w:val="508E06E0"/>
    <w:rsid w:val="529F6ACF"/>
    <w:rsid w:val="55654C60"/>
    <w:rsid w:val="560F4A04"/>
    <w:rsid w:val="56BC6CDA"/>
    <w:rsid w:val="57805DDE"/>
    <w:rsid w:val="5857298D"/>
    <w:rsid w:val="58D600C0"/>
    <w:rsid w:val="591C7D2C"/>
    <w:rsid w:val="5A1804F3"/>
    <w:rsid w:val="5A851901"/>
    <w:rsid w:val="5B7C52C3"/>
    <w:rsid w:val="5CB66239"/>
    <w:rsid w:val="5DF254FF"/>
    <w:rsid w:val="5FDF3861"/>
    <w:rsid w:val="61F96E5C"/>
    <w:rsid w:val="63ED29F1"/>
    <w:rsid w:val="66122874"/>
    <w:rsid w:val="66BF22AE"/>
    <w:rsid w:val="692F585A"/>
    <w:rsid w:val="69E509F7"/>
    <w:rsid w:val="6B1D0C45"/>
    <w:rsid w:val="6B5B0B88"/>
    <w:rsid w:val="702C068E"/>
    <w:rsid w:val="71233EF6"/>
    <w:rsid w:val="7289422C"/>
    <w:rsid w:val="72DE511D"/>
    <w:rsid w:val="7BEF5C84"/>
    <w:rsid w:val="7EA1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1915</Words>
  <Characters>1957</Characters>
  <Lines>0</Lines>
  <Paragraphs>0</Paragraphs>
  <TotalTime>9</TotalTime>
  <ScaleCrop>false</ScaleCrop>
  <LinksUpToDate>false</LinksUpToDate>
  <CharactersWithSpaces>1974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2025-05-06T09:56:00Z</dcterms:created>
  <dc:creator>雷辉</dc:creator>
  <cp:lastModifiedBy>Shoka</cp:lastModifiedBy>
  <cp:lastPrinted>2025-07-10T08:09:10Z</cp:lastPrinted>
  <dcterms:modified xsi:type="dcterms:W3CDTF">2025-07-10T09:03:55Z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DCB94E72679C4A999BEC24A5CB402C84_13</vt:lpwstr>
  </property>
  <property fmtid="{D5CDD505-2E9C-101B-9397-08002B2CF9AE}" pid="4" name="KSOTemplateDocerSaveRecord">
    <vt:lpwstr>eyJoZGlkIjoiZGY2MDc5ZWE4YWVkN2VkNmIzNzUwMDE0MTk0YTRiMjciLCJ1c2VySWQiOiIyNTA2NzIyNTAifQ==</vt:lpwstr>
  </property>
</Properties>
</file>