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977CF">
      <w:pPr>
        <w:pStyle w:val="2"/>
        <w:spacing w:line="520" w:lineRule="exact"/>
        <w:jc w:val="center"/>
        <w:rPr>
          <w:rFonts w:hint="eastAsia"/>
          <w:b/>
          <w:bCs/>
          <w:spacing w:val="-4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FF0000"/>
          <w:spacing w:val="-4"/>
          <w:sz w:val="28"/>
          <w:szCs w:val="28"/>
          <w:lang w:val="en-US" w:eastAsia="zh-CN"/>
        </w:rPr>
        <w:t>XX</w:t>
      </w:r>
      <w:r>
        <w:rPr>
          <w:rFonts w:hint="eastAsia" w:ascii="仿宋" w:hAnsi="仿宋" w:eastAsia="仿宋" w:cs="仿宋"/>
          <w:b/>
          <w:bCs/>
          <w:spacing w:val="-4"/>
          <w:sz w:val="28"/>
          <w:szCs w:val="28"/>
          <w:lang w:val="en-US" w:eastAsia="zh-CN"/>
        </w:rPr>
        <w:t>学院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202</w:t>
      </w:r>
      <w:r>
        <w:rPr>
          <w:rFonts w:hint="eastAsia"/>
          <w:b/>
          <w:bCs/>
          <w:spacing w:val="-4"/>
          <w:sz w:val="28"/>
          <w:szCs w:val="28"/>
          <w:lang w:val="en-US" w:eastAsia="zh-CN"/>
        </w:rPr>
        <w:t>5-2026学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年</w:t>
      </w:r>
      <w:r>
        <w:rPr>
          <w:b/>
          <w:bCs/>
          <w:spacing w:val="-4"/>
          <w:sz w:val="28"/>
          <w:szCs w:val="28"/>
          <w:lang w:eastAsia="zh-CN"/>
        </w:rPr>
        <w:t>人工智能通识课</w:t>
      </w:r>
      <w:r>
        <w:rPr>
          <w:rFonts w:hint="eastAsia"/>
          <w:b/>
          <w:bCs/>
          <w:spacing w:val="-4"/>
          <w:sz w:val="28"/>
          <w:szCs w:val="28"/>
          <w:lang w:eastAsia="zh-CN"/>
        </w:rPr>
        <w:t>设置方案</w:t>
      </w:r>
    </w:p>
    <w:p w14:paraId="66B8292F">
      <w:pPr>
        <w:pStyle w:val="2"/>
        <w:spacing w:line="520" w:lineRule="exact"/>
        <w:jc w:val="center"/>
        <w:rPr>
          <w:rFonts w:hint="eastAsia"/>
          <w:b w:val="0"/>
          <w:bCs w:val="0"/>
          <w:color w:val="FF0000"/>
          <w:spacing w:val="-4"/>
          <w:sz w:val="24"/>
          <w:szCs w:val="24"/>
          <w:lang w:eastAsia="zh-CN"/>
        </w:rPr>
      </w:pPr>
      <w:r>
        <w:rPr>
          <w:rFonts w:hint="eastAsia"/>
          <w:b w:val="0"/>
          <w:bCs w:val="0"/>
          <w:color w:val="FF0000"/>
          <w:spacing w:val="-4"/>
          <w:sz w:val="24"/>
          <w:szCs w:val="24"/>
          <w:lang w:eastAsia="zh-CN"/>
        </w:rPr>
        <w:t>（</w:t>
      </w:r>
      <w:r>
        <w:rPr>
          <w:rFonts w:hint="eastAsia"/>
          <w:b w:val="0"/>
          <w:bCs w:val="0"/>
          <w:color w:val="FF0000"/>
          <w:spacing w:val="-4"/>
          <w:sz w:val="24"/>
          <w:szCs w:val="24"/>
          <w:lang w:val="en-US" w:eastAsia="zh-CN"/>
        </w:rPr>
        <w:t>标红部分为参考示例及相关说明，请删除后填写表格</w:t>
      </w:r>
      <w:r>
        <w:rPr>
          <w:rFonts w:hint="eastAsia"/>
          <w:b w:val="0"/>
          <w:bCs w:val="0"/>
          <w:color w:val="FF0000"/>
          <w:spacing w:val="-4"/>
          <w:sz w:val="24"/>
          <w:szCs w:val="24"/>
          <w:lang w:eastAsia="zh-CN"/>
        </w:rPr>
        <w:t>）</w:t>
      </w:r>
    </w:p>
    <w:p w14:paraId="13891EAB">
      <w:pPr>
        <w:pStyle w:val="2"/>
        <w:spacing w:line="520" w:lineRule="exact"/>
        <w:jc w:val="left"/>
        <w:rPr>
          <w:rFonts w:hint="default"/>
          <w:b w:val="0"/>
          <w:bCs w:val="0"/>
          <w:color w:val="FF0000"/>
          <w:spacing w:val="-4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FF0000"/>
          <w:spacing w:val="-4"/>
          <w:sz w:val="24"/>
          <w:szCs w:val="24"/>
          <w:lang w:val="en-US" w:eastAsia="zh-CN"/>
        </w:rPr>
        <w:t>备注：</w:t>
      </w:r>
    </w:p>
    <w:p w14:paraId="460A42FB">
      <w:pPr>
        <w:numPr>
          <w:ilvl w:val="0"/>
          <w:numId w:val="0"/>
        </w:numPr>
        <w:ind w:firstLine="516" w:firstLineChars="200"/>
        <w:jc w:val="left"/>
        <w:rPr>
          <w:rFonts w:hint="eastAsia" w:ascii="仿宋" w:hAnsi="仿宋" w:eastAsia="仿宋" w:cs="仿宋"/>
          <w:b/>
          <w:bCs/>
          <w:color w:val="FF0000"/>
          <w:spacing w:val="9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FF0000"/>
          <w:spacing w:val="9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FF0000"/>
          <w:spacing w:val="9"/>
          <w:sz w:val="24"/>
          <w:szCs w:val="24"/>
          <w:lang w:eastAsia="zh-CN"/>
        </w:rPr>
        <w:t>任课教师全程负责人工智能通识课4个模块的线下教学组织，包括模块1、模块2和模块3线下翻转课堂，以及模块4“AI+实践”的活动组织等。</w:t>
      </w:r>
    </w:p>
    <w:p w14:paraId="103619FD">
      <w:pPr>
        <w:pStyle w:val="6"/>
        <w:numPr>
          <w:ilvl w:val="0"/>
          <w:numId w:val="0"/>
        </w:numPr>
        <w:ind w:leftChars="0" w:firstLine="516" w:firstLineChars="200"/>
        <w:rPr>
          <w:rFonts w:hint="default" w:ascii="仿宋" w:hAnsi="仿宋" w:eastAsia="仿宋" w:cs="仿宋"/>
          <w:b w:val="0"/>
          <w:bCs w:val="0"/>
          <w:color w:val="FF0000"/>
          <w:spacing w:val="9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FF0000"/>
          <w:spacing w:val="9"/>
          <w:kern w:val="2"/>
          <w:sz w:val="24"/>
          <w:szCs w:val="24"/>
          <w:lang w:val="en-US" w:eastAsia="zh-CN" w:bidi="ar-SA"/>
        </w:rPr>
        <w:t>2.各模块总学时（详见《桂林电子科技大学人工智能通识课设置实施方案》）为固定值，例如理工版模块一须为12学时，但模块一、二、三的线上学时与线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FF0000"/>
          <w:spacing w:val="9"/>
          <w:kern w:val="2"/>
          <w:sz w:val="24"/>
          <w:szCs w:val="24"/>
          <w:lang w:val="en-US" w:eastAsia="zh-CN" w:bidi="ar-SA"/>
        </w:rPr>
        <w:t>下学时占比，可由学院自主分配调整。</w:t>
      </w:r>
      <w:r>
        <w:rPr>
          <w:rFonts w:hint="eastAsia" w:ascii="仿宋" w:hAnsi="仿宋" w:eastAsia="仿宋" w:cs="仿宋"/>
          <w:b/>
          <w:bCs/>
          <w:color w:val="FF0000"/>
          <w:spacing w:val="9"/>
          <w:kern w:val="2"/>
          <w:sz w:val="24"/>
          <w:szCs w:val="24"/>
          <w:lang w:val="en-US" w:eastAsia="zh-CN" w:bidi="ar-SA"/>
        </w:rPr>
        <w:t>线下学时总和不得低于16学时。</w:t>
      </w:r>
    </w:p>
    <w:tbl>
      <w:tblPr>
        <w:tblStyle w:val="4"/>
        <w:tblW w:w="15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92"/>
        <w:gridCol w:w="1582"/>
        <w:gridCol w:w="1582"/>
        <w:gridCol w:w="960"/>
        <w:gridCol w:w="885"/>
        <w:gridCol w:w="3255"/>
        <w:gridCol w:w="2852"/>
        <w:gridCol w:w="2274"/>
      </w:tblGrid>
      <w:tr w14:paraId="0F8F9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59" w:type="dxa"/>
            <w:vAlign w:val="center"/>
          </w:tcPr>
          <w:p w14:paraId="04604160">
            <w:pPr>
              <w:pStyle w:val="2"/>
              <w:widowControl/>
              <w:jc w:val="center"/>
              <w:rPr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专业</w:t>
            </w:r>
          </w:p>
          <w:p w14:paraId="0128EDF8">
            <w:pPr>
              <w:pStyle w:val="2"/>
              <w:widowControl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992" w:type="dxa"/>
            <w:vAlign w:val="center"/>
          </w:tcPr>
          <w:p w14:paraId="182264D3">
            <w:pPr>
              <w:pStyle w:val="2"/>
              <w:widowControl/>
              <w:jc w:val="center"/>
              <w:rPr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课程</w:t>
            </w:r>
          </w:p>
          <w:p w14:paraId="67BC5B35">
            <w:pPr>
              <w:pStyle w:val="2"/>
              <w:widowControl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1582" w:type="dxa"/>
            <w:vAlign w:val="center"/>
          </w:tcPr>
          <w:p w14:paraId="5F4A80E0">
            <w:pPr>
              <w:pStyle w:val="2"/>
              <w:widowControl/>
              <w:jc w:val="center"/>
              <w:rPr>
                <w:rFonts w:hint="default"/>
                <w:b/>
                <w:bCs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val="en-US" w:eastAsia="zh-CN"/>
              </w:rPr>
              <w:t>开课学期</w:t>
            </w:r>
          </w:p>
        </w:tc>
        <w:tc>
          <w:tcPr>
            <w:tcW w:w="1582" w:type="dxa"/>
            <w:vAlign w:val="center"/>
          </w:tcPr>
          <w:p w14:paraId="63E21780">
            <w:pPr>
              <w:pStyle w:val="2"/>
              <w:widowControl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教学班级</w:t>
            </w:r>
          </w:p>
        </w:tc>
        <w:tc>
          <w:tcPr>
            <w:tcW w:w="960" w:type="dxa"/>
            <w:vAlign w:val="center"/>
          </w:tcPr>
          <w:p w14:paraId="58E73740">
            <w:pPr>
              <w:pStyle w:val="2"/>
              <w:widowControl/>
              <w:jc w:val="center"/>
              <w:rPr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任课</w:t>
            </w:r>
          </w:p>
          <w:p w14:paraId="0FBD1DF1">
            <w:pPr>
              <w:pStyle w:val="2"/>
              <w:widowControl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教师</w:t>
            </w:r>
          </w:p>
        </w:tc>
        <w:tc>
          <w:tcPr>
            <w:tcW w:w="885" w:type="dxa"/>
            <w:vAlign w:val="center"/>
          </w:tcPr>
          <w:p w14:paraId="6CF5B0A8">
            <w:pPr>
              <w:pStyle w:val="2"/>
              <w:widowControl/>
              <w:jc w:val="center"/>
              <w:rPr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班级</w:t>
            </w:r>
          </w:p>
          <w:p w14:paraId="26E51436">
            <w:pPr>
              <w:pStyle w:val="2"/>
              <w:widowControl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人数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04895C85">
            <w:pPr>
              <w:pStyle w:val="2"/>
              <w:widowControl w:val="0"/>
              <w:jc w:val="center"/>
              <w:rPr>
                <w:rFonts w:hint="eastAsia" w:ascii="仿宋" w:hAnsi="仿宋" w:eastAsia="仿宋" w:cs="仿宋"/>
                <w:b/>
                <w:bCs/>
                <w:spacing w:val="-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val="en-US" w:eastAsia="zh-CN"/>
              </w:rPr>
              <w:t>模块一、二、三教学组织形式</w:t>
            </w:r>
          </w:p>
        </w:tc>
        <w:tc>
          <w:tcPr>
            <w:tcW w:w="2852" w:type="dxa"/>
            <w:vAlign w:val="center"/>
          </w:tcPr>
          <w:p w14:paraId="753059BD">
            <w:pPr>
              <w:pStyle w:val="2"/>
              <w:widowControl w:val="0"/>
              <w:jc w:val="center"/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val="en-US" w:eastAsia="zh-CN"/>
              </w:rPr>
              <w:t>模块一、二、三线下</w:t>
            </w:r>
            <w:r>
              <w:rPr>
                <w:rFonts w:hint="eastAsia"/>
                <w:b/>
                <w:bCs/>
                <w:spacing w:val="-4"/>
                <w:sz w:val="21"/>
                <w:szCs w:val="21"/>
                <w:lang w:eastAsia="zh-CN"/>
              </w:rPr>
              <w:t>上课时间/地点</w:t>
            </w:r>
          </w:p>
        </w:tc>
        <w:tc>
          <w:tcPr>
            <w:tcW w:w="2274" w:type="dxa"/>
            <w:vAlign w:val="center"/>
          </w:tcPr>
          <w:p w14:paraId="0240BFC2">
            <w:pPr>
              <w:pStyle w:val="2"/>
              <w:widowControl w:val="0"/>
              <w:jc w:val="center"/>
              <w:rPr>
                <w:rFonts w:hint="default"/>
                <w:b/>
                <w:bCs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sz w:val="21"/>
                <w:szCs w:val="21"/>
                <w:lang w:val="en-US" w:eastAsia="zh-CN"/>
              </w:rPr>
              <w:t>模块四教学组织形式及详细安排</w:t>
            </w:r>
          </w:p>
        </w:tc>
      </w:tr>
      <w:tr w14:paraId="5D8AC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59" w:type="dxa"/>
            <w:vMerge w:val="restart"/>
            <w:vAlign w:val="center"/>
          </w:tcPr>
          <w:p w14:paraId="430D838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理工类</w:t>
            </w:r>
          </w:p>
        </w:tc>
        <w:tc>
          <w:tcPr>
            <w:tcW w:w="992" w:type="dxa"/>
            <w:vMerge w:val="restart"/>
            <w:vAlign w:val="center"/>
          </w:tcPr>
          <w:p w14:paraId="4F432ED0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计算思维与人工智能导论（理工版）</w:t>
            </w:r>
          </w:p>
        </w:tc>
        <w:tc>
          <w:tcPr>
            <w:tcW w:w="1582" w:type="dxa"/>
            <w:vAlign w:val="center"/>
          </w:tcPr>
          <w:p w14:paraId="33B26112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2025-2026学年年秋季学期</w:t>
            </w:r>
          </w:p>
        </w:tc>
        <w:tc>
          <w:tcPr>
            <w:tcW w:w="1582" w:type="dxa"/>
            <w:vAlign w:val="center"/>
          </w:tcPr>
          <w:p w14:paraId="7E7F99E6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2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5002001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25002002</w:t>
            </w:r>
          </w:p>
        </w:tc>
        <w:tc>
          <w:tcPr>
            <w:tcW w:w="960" w:type="dxa"/>
            <w:vAlign w:val="center"/>
          </w:tcPr>
          <w:p w14:paraId="78E2A5D4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李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XX</w:t>
            </w:r>
          </w:p>
        </w:tc>
        <w:tc>
          <w:tcPr>
            <w:tcW w:w="885" w:type="dxa"/>
            <w:vAlign w:val="center"/>
          </w:tcPr>
          <w:p w14:paraId="3145E96E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80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3C493CE7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模块一：</w:t>
            </w:r>
          </w:p>
          <w:p w14:paraId="53060985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  <w:p w14:paraId="7F4AC927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模块二：</w:t>
            </w:r>
          </w:p>
          <w:p w14:paraId="033060A6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  <w:p w14:paraId="67E79AAF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模块三：</w:t>
            </w:r>
          </w:p>
          <w:p w14:paraId="68921248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</w:tc>
        <w:tc>
          <w:tcPr>
            <w:tcW w:w="2852" w:type="dxa"/>
            <w:vAlign w:val="center"/>
          </w:tcPr>
          <w:p w14:paraId="1072F34E">
            <w:pPr>
              <w:pStyle w:val="2"/>
              <w:widowControl w:val="0"/>
              <w:jc w:val="left"/>
              <w:rPr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第3周，周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四9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节/2教10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4</w:t>
            </w:r>
          </w:p>
          <w:p w14:paraId="5E9E16BA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第4-12周，周四第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节/2教104</w:t>
            </w:r>
          </w:p>
        </w:tc>
        <w:tc>
          <w:tcPr>
            <w:tcW w:w="2274" w:type="dxa"/>
            <w:vAlign w:val="center"/>
          </w:tcPr>
          <w:p w14:paraId="50AD3B23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遵循“四个一”原则，即完成一次课堂实验、参加一次现场实践活动、完成一项课程设计、参加一次学科竞赛，完成以上四项中的任一项即可获得对应学时。</w:t>
            </w:r>
          </w:p>
        </w:tc>
      </w:tr>
      <w:tr w14:paraId="789A7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9" w:type="dxa"/>
            <w:vMerge w:val="continue"/>
          </w:tcPr>
          <w:p w14:paraId="36ECEF9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70C4EBF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vAlign w:val="center"/>
          </w:tcPr>
          <w:p w14:paraId="1E204032">
            <w:pPr>
              <w:pStyle w:val="2"/>
              <w:widowControl/>
              <w:jc w:val="center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2025-2026学年年春季学期</w:t>
            </w:r>
          </w:p>
        </w:tc>
        <w:tc>
          <w:tcPr>
            <w:tcW w:w="1582" w:type="dxa"/>
            <w:vAlign w:val="center"/>
          </w:tcPr>
          <w:p w14:paraId="1107E439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2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5002003</w:t>
            </w:r>
          </w:p>
          <w:p w14:paraId="76C24190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25002004</w:t>
            </w:r>
          </w:p>
        </w:tc>
        <w:tc>
          <w:tcPr>
            <w:tcW w:w="960" w:type="dxa"/>
            <w:vAlign w:val="center"/>
          </w:tcPr>
          <w:p w14:paraId="4DAEF47B">
            <w:pPr>
              <w:pStyle w:val="2"/>
              <w:widowControl/>
              <w:jc w:val="center"/>
              <w:rPr>
                <w:rFonts w:hint="default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张XX</w:t>
            </w:r>
          </w:p>
        </w:tc>
        <w:tc>
          <w:tcPr>
            <w:tcW w:w="885" w:type="dxa"/>
            <w:vAlign w:val="center"/>
          </w:tcPr>
          <w:p w14:paraId="05A9E036">
            <w:pPr>
              <w:pStyle w:val="2"/>
              <w:widowControl/>
              <w:jc w:val="center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91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3C02A0A1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模块一：</w:t>
            </w:r>
          </w:p>
          <w:p w14:paraId="16803723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  <w:p w14:paraId="5B353F39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模块二：</w:t>
            </w:r>
          </w:p>
          <w:p w14:paraId="6AA2191A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  <w:p w14:paraId="7E0D48B4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模块三：</w:t>
            </w:r>
          </w:p>
          <w:p w14:paraId="463A4C3B">
            <w:pPr>
              <w:pStyle w:val="2"/>
              <w:widowControl w:val="0"/>
              <w:jc w:val="left"/>
              <w:rPr>
                <w:rFonts w:hint="eastAsia" w:ascii="仿宋" w:hAnsi="仿宋" w:eastAsia="仿宋" w:cs="仿宋"/>
                <w:color w:val="FF0000"/>
                <w:spacing w:val="-4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线上自学（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学时）+线下（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X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学时）</w:t>
            </w:r>
          </w:p>
        </w:tc>
        <w:tc>
          <w:tcPr>
            <w:tcW w:w="2852" w:type="dxa"/>
            <w:vAlign w:val="center"/>
          </w:tcPr>
          <w:p w14:paraId="5E17E78B">
            <w:pPr>
              <w:pStyle w:val="2"/>
              <w:widowControl w:val="0"/>
              <w:jc w:val="left"/>
              <w:rPr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第3周，周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四9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节/2教101</w:t>
            </w:r>
          </w:p>
          <w:p w14:paraId="0247ABA6">
            <w:pPr>
              <w:pStyle w:val="2"/>
              <w:widowControl w:val="0"/>
              <w:jc w:val="left"/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第4-12周，周四第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节/2教101</w:t>
            </w:r>
          </w:p>
        </w:tc>
        <w:tc>
          <w:tcPr>
            <w:tcW w:w="2274" w:type="dxa"/>
            <w:shd w:val="clear" w:color="auto" w:fill="auto"/>
            <w:vAlign w:val="center"/>
          </w:tcPr>
          <w:p w14:paraId="4B6A2032">
            <w:pPr>
              <w:pStyle w:val="2"/>
              <w:widowControl w:val="0"/>
              <w:jc w:val="left"/>
              <w:rPr>
                <w:rFonts w:hint="eastAsia" w:ascii="仿宋" w:hAnsi="仿宋" w:eastAsia="仿宋" w:cs="仿宋"/>
                <w:color w:val="FF0000"/>
                <w:spacing w:val="-4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FF0000"/>
                <w:spacing w:val="-4"/>
                <w:sz w:val="21"/>
                <w:szCs w:val="21"/>
                <w:highlight w:val="none"/>
                <w:lang w:eastAsia="zh-CN"/>
              </w:rPr>
              <w:t>遵循“四个一”原则，即完成一次课堂实验、参加一次现场实践活动、完成一项课程设计、参加一次学科竞赛，完成以上四项中的任一项即可获得对应学时。</w:t>
            </w:r>
          </w:p>
        </w:tc>
      </w:tr>
      <w:tr w14:paraId="7C011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959" w:type="dxa"/>
            <w:vMerge w:val="continue"/>
          </w:tcPr>
          <w:p w14:paraId="71EA7C70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6767660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vAlign w:val="center"/>
          </w:tcPr>
          <w:p w14:paraId="4A05430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vAlign w:val="center"/>
          </w:tcPr>
          <w:p w14:paraId="661B1CE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vAlign w:val="center"/>
          </w:tcPr>
          <w:p w14:paraId="755FD3F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885" w:type="dxa"/>
            <w:vAlign w:val="center"/>
          </w:tcPr>
          <w:p w14:paraId="25E6909A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54E8EC1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17E1B55E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52C92C03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65B68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59" w:type="dxa"/>
            <w:vMerge w:val="continue"/>
          </w:tcPr>
          <w:p w14:paraId="7AC09ED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59239CD0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12EDF975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6E8A041B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0633E35C">
            <w:pPr>
              <w:pStyle w:val="2"/>
              <w:widowControl/>
              <w:jc w:val="center"/>
              <w:rPr>
                <w:rFonts w:hint="default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ADB064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0F315F1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70A35A10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7C148798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0F7BB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9" w:type="dxa"/>
            <w:vMerge w:val="restart"/>
            <w:vAlign w:val="center"/>
          </w:tcPr>
          <w:p w14:paraId="2C953E11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管文类</w:t>
            </w:r>
          </w:p>
        </w:tc>
        <w:tc>
          <w:tcPr>
            <w:tcW w:w="992" w:type="dxa"/>
            <w:vMerge w:val="restart"/>
            <w:vAlign w:val="center"/>
          </w:tcPr>
          <w:p w14:paraId="7BD214D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计算思维与人工智能导论（管文版）</w:t>
            </w:r>
          </w:p>
        </w:tc>
        <w:tc>
          <w:tcPr>
            <w:tcW w:w="1582" w:type="dxa"/>
            <w:vAlign w:val="center"/>
          </w:tcPr>
          <w:p w14:paraId="7522BD2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vAlign w:val="center"/>
          </w:tcPr>
          <w:p w14:paraId="256EE67B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vAlign w:val="center"/>
          </w:tcPr>
          <w:p w14:paraId="348D819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885" w:type="dxa"/>
            <w:vAlign w:val="center"/>
          </w:tcPr>
          <w:p w14:paraId="15193775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1A029FA1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4A7F7C56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6D7EC15E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3A756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59" w:type="dxa"/>
            <w:vMerge w:val="continue"/>
          </w:tcPr>
          <w:p w14:paraId="4A7D258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77690F7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6B0E5705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54D3ADE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46BD11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2E4AE4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4C75790D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7873C957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2987D1EE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27066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59" w:type="dxa"/>
            <w:vMerge w:val="continue"/>
          </w:tcPr>
          <w:p w14:paraId="7704E20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64483A2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37F58D8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3523050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1A728E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9E53B3A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114A5C6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3764FD75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6BFD2A8F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42736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959" w:type="dxa"/>
            <w:vMerge w:val="continue"/>
          </w:tcPr>
          <w:p w14:paraId="1D5BAF0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39B404E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553606A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0288A26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5BDD5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BA2C4B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22A9DF0A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03D8D91F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5C0EE800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3B5C7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59" w:type="dxa"/>
            <w:vMerge w:val="continue"/>
          </w:tcPr>
          <w:p w14:paraId="597F5DD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vMerge w:val="continue"/>
          </w:tcPr>
          <w:p w14:paraId="0BFCF60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2D4AEEAA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755929C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3FBC2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6413BDB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2E8BCB9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17A7861A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43B3A437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17E15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59" w:type="dxa"/>
            <w:vMerge w:val="restart"/>
          </w:tcPr>
          <w:p w14:paraId="192E2D5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2AC5D8CC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21B617E6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71E7C1B0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35BAAB92">
            <w:pPr>
              <w:pStyle w:val="2"/>
              <w:widowControl/>
              <w:jc w:val="center"/>
              <w:rPr>
                <w:rFonts w:hint="default"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val="en-US" w:eastAsia="zh-CN"/>
              </w:rPr>
              <w:t>艺体类</w:t>
            </w:r>
          </w:p>
        </w:tc>
        <w:tc>
          <w:tcPr>
            <w:tcW w:w="992" w:type="dxa"/>
            <w:vMerge w:val="restart"/>
          </w:tcPr>
          <w:p w14:paraId="2827D015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42D0F3A9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34B4D81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  <w:p w14:paraId="03AD54E4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计算思维与人工智能导论（</w:t>
            </w:r>
            <w:r>
              <w:rPr>
                <w:rFonts w:hint="eastAsia"/>
                <w:spacing w:val="-4"/>
                <w:sz w:val="21"/>
                <w:szCs w:val="21"/>
                <w:lang w:val="en-US" w:eastAsia="zh-CN"/>
              </w:rPr>
              <w:t>艺体版</w:t>
            </w:r>
            <w:r>
              <w:rPr>
                <w:rFonts w:hint="eastAsia"/>
                <w:spacing w:val="-4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2" w:type="dxa"/>
            <w:shd w:val="clear" w:color="auto" w:fill="auto"/>
            <w:vAlign w:val="center"/>
          </w:tcPr>
          <w:p w14:paraId="59A10EC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68681557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3AF2EB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2DAB5F9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556BDA2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08718F95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324B11F0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7C778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59" w:type="dxa"/>
            <w:vMerge w:val="continue"/>
          </w:tcPr>
          <w:p w14:paraId="0492EF2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vMerge w:val="continue"/>
          </w:tcPr>
          <w:p w14:paraId="1C190D79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4218C66A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47FDB089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3C30C2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E51691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48CEC761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098FD5E3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2284E959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59A81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59" w:type="dxa"/>
            <w:vMerge w:val="continue"/>
          </w:tcPr>
          <w:p w14:paraId="6DFFEEAE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vMerge w:val="continue"/>
          </w:tcPr>
          <w:p w14:paraId="1B932DB8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2DDA05F9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523B131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563901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727BA62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71B67A63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591B30FA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377EBA29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  <w:tr w14:paraId="4BCFD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59" w:type="dxa"/>
            <w:vMerge w:val="continue"/>
          </w:tcPr>
          <w:p w14:paraId="71A9F43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vMerge w:val="continue"/>
          </w:tcPr>
          <w:p w14:paraId="73E221D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val="en-US"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1A44989F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 w14:paraId="40828AA5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EF43C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pacing w:val="-4"/>
                <w:lang w:eastAsia="zh-CN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41FA106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3255" w:type="dxa"/>
            <w:vAlign w:val="center"/>
          </w:tcPr>
          <w:p w14:paraId="70B7D396">
            <w:pPr>
              <w:pStyle w:val="2"/>
              <w:widowControl/>
              <w:jc w:val="center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852" w:type="dxa"/>
            <w:vAlign w:val="center"/>
          </w:tcPr>
          <w:p w14:paraId="48D2B293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  <w:tc>
          <w:tcPr>
            <w:tcW w:w="2274" w:type="dxa"/>
            <w:vAlign w:val="center"/>
          </w:tcPr>
          <w:p w14:paraId="0F7E15A5">
            <w:pPr>
              <w:pStyle w:val="2"/>
              <w:widowControl w:val="0"/>
              <w:jc w:val="left"/>
              <w:rPr>
                <w:rFonts w:hint="eastAsia"/>
                <w:spacing w:val="-4"/>
                <w:sz w:val="21"/>
                <w:szCs w:val="21"/>
                <w:lang w:eastAsia="zh-CN"/>
              </w:rPr>
            </w:pPr>
          </w:p>
        </w:tc>
      </w:tr>
    </w:tbl>
    <w:p w14:paraId="28A921D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340BE6"/>
    <w:rsid w:val="047F5D92"/>
    <w:rsid w:val="09340BE6"/>
    <w:rsid w:val="1F9A4AD4"/>
    <w:rsid w:val="3F877C43"/>
    <w:rsid w:val="6C71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缩进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671</Characters>
  <Lines>0</Lines>
  <Paragraphs>0</Paragraphs>
  <TotalTime>4</TotalTime>
  <ScaleCrop>false</ScaleCrop>
  <LinksUpToDate>false</LinksUpToDate>
  <CharactersWithSpaces>671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2025-07-10T03:00:00Z</dcterms:created>
  <dc:creator>Shoka</dc:creator>
  <cp:lastModifiedBy>Shoka</cp:lastModifiedBy>
  <dcterms:modified xsi:type="dcterms:W3CDTF">2025-07-11T01:02:08Z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9695DDF02E014BCFBE65824739124068_11</vt:lpwstr>
  </property>
  <property fmtid="{D5CDD505-2E9C-101B-9397-08002B2CF9AE}" pid="4" name="KSOTemplateDocerSaveRecord">
    <vt:lpwstr>eyJoZGlkIjoiZGY2MDc5ZWE4YWVkN2VkNmIzNzUwMDE0MTk0YTRiMjciLCJ1c2VySWQiOiIyNTA2NzIyNTAifQ==</vt:lpwstr>
  </property>
</Properties>
</file>