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DFC289">
      <w:pPr>
        <w:snapToGrid w:val="0"/>
        <w:spacing w:line="580" w:lineRule="exact"/>
        <w:jc w:val="center"/>
        <w:rPr>
          <w:rFonts w:hint="eastAsia" w:ascii="方正小标宋_GBK" w:eastAsia="方正小标宋_GBK"/>
          <w:sz w:val="44"/>
          <w:szCs w:val="44"/>
        </w:rPr>
      </w:pPr>
      <w:r>
        <w:rPr>
          <w:rFonts w:hint="eastAsia" w:ascii="方正小标宋_GBK" w:eastAsia="方正小标宋_GBK"/>
          <w:sz w:val="44"/>
          <w:szCs w:val="44"/>
        </w:rPr>
        <w:t>信息与通信学院科教融汇工作方案</w:t>
      </w:r>
    </w:p>
    <w:p w14:paraId="60E72AAC">
      <w:pPr>
        <w:snapToGrid w:val="0"/>
        <w:spacing w:line="580" w:lineRule="exact"/>
        <w:rPr>
          <w:rFonts w:hint="eastAsia" w:ascii="仿宋_GB2312" w:eastAsia="仿宋_GB2312"/>
          <w:sz w:val="36"/>
          <w:szCs w:val="36"/>
        </w:rPr>
      </w:pPr>
    </w:p>
    <w:p w14:paraId="04A274C6">
      <w:pPr>
        <w:snapToGrid w:val="0"/>
        <w:spacing w:line="580" w:lineRule="exact"/>
        <w:rPr>
          <w:rFonts w:hint="eastAsia" w:ascii="仿宋_GB2312" w:eastAsia="仿宋_GB2312"/>
          <w:sz w:val="30"/>
          <w:szCs w:val="30"/>
        </w:rPr>
      </w:pPr>
    </w:p>
    <w:p w14:paraId="3F1C92B7">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根据《信息与通信学院科教融汇、科研拔尖班项目实施办法》（信通教</w:t>
      </w:r>
      <w:r>
        <w:rPr>
          <w:rFonts w:hint="eastAsia" w:ascii="微软雅黑" w:hAnsi="微软雅黑" w:eastAsia="微软雅黑" w:cs="微软雅黑"/>
          <w:sz w:val="30"/>
          <w:szCs w:val="30"/>
        </w:rPr>
        <w:t>﹝</w:t>
      </w:r>
      <w:r>
        <w:rPr>
          <w:rFonts w:hint="eastAsia" w:ascii="仿宋_GB2312" w:eastAsia="仿宋_GB2312"/>
          <w:sz w:val="30"/>
          <w:szCs w:val="30"/>
        </w:rPr>
        <w:t>2025</w:t>
      </w:r>
      <w:r>
        <w:rPr>
          <w:rFonts w:hint="eastAsia" w:ascii="微软雅黑" w:hAnsi="微软雅黑" w:eastAsia="微软雅黑" w:cs="微软雅黑"/>
          <w:sz w:val="30"/>
          <w:szCs w:val="30"/>
        </w:rPr>
        <w:t>﹞</w:t>
      </w:r>
      <w:r>
        <w:rPr>
          <w:rFonts w:hint="eastAsia" w:ascii="仿宋_GB2312" w:eastAsia="仿宋_GB2312"/>
          <w:sz w:val="30"/>
          <w:szCs w:val="30"/>
        </w:rPr>
        <w:t>3号）文件要求，经研究决定，信息与通信学院2025年科教融汇项目按照以下方案执行。</w:t>
      </w:r>
    </w:p>
    <w:p w14:paraId="463554D1">
      <w:pPr>
        <w:adjustRightInd w:val="0"/>
        <w:snapToGrid w:val="0"/>
        <w:spacing w:line="580" w:lineRule="exact"/>
        <w:ind w:firstLine="600" w:firstLineChars="200"/>
        <w:rPr>
          <w:rFonts w:hint="eastAsia" w:ascii="黑体" w:hAnsi="黑体" w:eastAsia="黑体"/>
          <w:sz w:val="30"/>
          <w:szCs w:val="30"/>
        </w:rPr>
      </w:pPr>
      <w:r>
        <w:rPr>
          <w:rFonts w:hint="eastAsia" w:ascii="黑体" w:hAnsi="黑体" w:eastAsia="黑体"/>
          <w:sz w:val="30"/>
          <w:szCs w:val="30"/>
        </w:rPr>
        <w:t>一、工作领导小组</w:t>
      </w:r>
    </w:p>
    <w:p w14:paraId="0703A3B5">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学院科教融汇项目工作领导小组由学院领导班子成员、系主任、教学秘书和相关年级辅导员组成，负责组织和监督、宣传和考核、材料收集整理及组织协调工作。</w:t>
      </w:r>
    </w:p>
    <w:p w14:paraId="31ABF8B3">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 xml:space="preserve">组长：张智昱 曹卫平 </w:t>
      </w:r>
    </w:p>
    <w:p w14:paraId="2D70A95F">
      <w:pPr>
        <w:adjustRightInd w:val="0"/>
        <w:snapToGrid w:val="0"/>
        <w:spacing w:line="580" w:lineRule="exact"/>
        <w:ind w:firstLine="600" w:firstLineChars="200"/>
        <w:rPr>
          <w:rFonts w:hint="default" w:ascii="仿宋_GB2312" w:eastAsia="仿宋_GB2312"/>
          <w:sz w:val="30"/>
          <w:szCs w:val="30"/>
          <w:lang w:val="en-US" w:eastAsia="zh-CN"/>
        </w:rPr>
      </w:pPr>
      <w:r>
        <w:rPr>
          <w:rFonts w:hint="eastAsia" w:ascii="仿宋_GB2312" w:eastAsia="仿宋_GB2312"/>
          <w:sz w:val="30"/>
          <w:szCs w:val="30"/>
        </w:rPr>
        <w:t>组员：张法碧 展领 李晓欢 刘涛</w:t>
      </w:r>
      <w:r>
        <w:rPr>
          <w:rFonts w:hint="eastAsia" w:ascii="仿宋_GB2312" w:eastAsia="仿宋_GB2312"/>
          <w:sz w:val="30"/>
          <w:szCs w:val="30"/>
          <w:lang w:val="en-US" w:eastAsia="zh-CN"/>
        </w:rPr>
        <w:t xml:space="preserve"> 李燕龙</w:t>
      </w:r>
      <w:bookmarkStart w:id="0" w:name="_GoBack"/>
      <w:bookmarkEnd w:id="0"/>
    </w:p>
    <w:p w14:paraId="561E59C8">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 xml:space="preserve">秘书：付静 相关辅导员 </w:t>
      </w:r>
    </w:p>
    <w:p w14:paraId="6567374E">
      <w:pPr>
        <w:adjustRightInd w:val="0"/>
        <w:snapToGrid w:val="0"/>
        <w:spacing w:line="580" w:lineRule="exact"/>
        <w:ind w:firstLine="600" w:firstLineChars="200"/>
        <w:rPr>
          <w:rFonts w:hint="eastAsia" w:ascii="黑体" w:hAnsi="黑体" w:eastAsia="黑体"/>
          <w:sz w:val="30"/>
          <w:szCs w:val="30"/>
        </w:rPr>
      </w:pPr>
      <w:r>
        <w:rPr>
          <w:rFonts w:hint="eastAsia" w:ascii="黑体" w:hAnsi="黑体" w:eastAsia="黑体"/>
          <w:sz w:val="30"/>
          <w:szCs w:val="30"/>
        </w:rPr>
        <w:t>二、学生基本条件</w:t>
      </w:r>
    </w:p>
    <w:p w14:paraId="43C18985">
      <w:pPr>
        <w:adjustRightInd w:val="0"/>
        <w:snapToGrid w:val="0"/>
        <w:spacing w:line="580" w:lineRule="exact"/>
        <w:ind w:firstLine="900" w:firstLineChars="300"/>
        <w:rPr>
          <w:rFonts w:hint="eastAsia" w:ascii="仿宋_GB2312" w:eastAsia="仿宋_GB2312"/>
          <w:sz w:val="30"/>
          <w:szCs w:val="30"/>
        </w:rPr>
      </w:pPr>
      <w:r>
        <w:rPr>
          <w:rFonts w:hint="eastAsia" w:ascii="仿宋_GB2312" w:eastAsia="仿宋_GB2312"/>
          <w:sz w:val="30"/>
          <w:szCs w:val="30"/>
        </w:rPr>
        <w:t>符合《信息与通信学院科教融汇、科研拔尖班项目实施办法》（信通教</w:t>
      </w:r>
      <w:r>
        <w:rPr>
          <w:rFonts w:hint="eastAsia" w:ascii="微软雅黑" w:hAnsi="微软雅黑" w:eastAsia="微软雅黑" w:cs="微软雅黑"/>
          <w:sz w:val="30"/>
          <w:szCs w:val="30"/>
        </w:rPr>
        <w:t>﹝</w:t>
      </w:r>
      <w:r>
        <w:rPr>
          <w:rFonts w:hint="eastAsia" w:ascii="仿宋_GB2312" w:eastAsia="仿宋_GB2312"/>
          <w:sz w:val="30"/>
          <w:szCs w:val="30"/>
        </w:rPr>
        <w:t>2025</w:t>
      </w:r>
      <w:r>
        <w:rPr>
          <w:rFonts w:hint="eastAsia" w:ascii="微软雅黑" w:hAnsi="微软雅黑" w:eastAsia="微软雅黑" w:cs="微软雅黑"/>
          <w:sz w:val="30"/>
          <w:szCs w:val="30"/>
        </w:rPr>
        <w:t>﹞</w:t>
      </w:r>
      <w:r>
        <w:rPr>
          <w:rFonts w:hint="eastAsia" w:ascii="仿宋_GB2312" w:eastAsia="仿宋_GB2312"/>
          <w:sz w:val="30"/>
          <w:szCs w:val="30"/>
        </w:rPr>
        <w:t>3号）文件的有关规定，未受过违纪处分，学习成绩优异，对科学研究有浓厚兴趣和热情，能够保证开展课题研究所需的时间和精力，或有其它特殊才能的本科生，可申请报名科教融汇项目。</w:t>
      </w:r>
    </w:p>
    <w:p w14:paraId="72C59984">
      <w:pPr>
        <w:adjustRightInd w:val="0"/>
        <w:snapToGrid w:val="0"/>
        <w:spacing w:line="580" w:lineRule="exact"/>
        <w:ind w:firstLine="600" w:firstLineChars="200"/>
        <w:rPr>
          <w:rFonts w:hint="eastAsia" w:ascii="黑体" w:hAnsi="黑体" w:eastAsia="黑体"/>
          <w:sz w:val="30"/>
          <w:szCs w:val="30"/>
        </w:rPr>
      </w:pPr>
      <w:r>
        <w:rPr>
          <w:rFonts w:hint="eastAsia" w:ascii="黑体" w:hAnsi="黑体" w:eastAsia="黑体"/>
          <w:sz w:val="30"/>
          <w:szCs w:val="30"/>
        </w:rPr>
        <w:t>三、遴选办法</w:t>
      </w:r>
    </w:p>
    <w:p w14:paraId="219F53DE">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通过“师生互选、双向确定”形式。对通过初审的学生，学院组织双选会，面试官为学院各科研团队负责人及团队老师。主要考核学生的思想道德素养、心理健康状态、专业知识和能力以及创新潜质等。学院每个科研团队每年至少指导一个本科生小组，每个小组基本人数不限，小组中每位同学需要有不同的研究内容（课题）。</w:t>
      </w:r>
    </w:p>
    <w:p w14:paraId="7EF31E18">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通信工程专业3年级本科生（2023级），科教协同本学期末开始报名实行。</w:t>
      </w:r>
    </w:p>
    <w:p w14:paraId="78612950">
      <w:pPr>
        <w:adjustRightInd w:val="0"/>
        <w:snapToGrid w:val="0"/>
        <w:spacing w:line="580" w:lineRule="exact"/>
        <w:ind w:firstLine="600" w:firstLineChars="200"/>
        <w:rPr>
          <w:rFonts w:hint="eastAsia" w:ascii="黑体" w:hAnsi="黑体" w:eastAsia="黑体"/>
          <w:sz w:val="30"/>
          <w:szCs w:val="30"/>
        </w:rPr>
      </w:pPr>
      <w:r>
        <w:rPr>
          <w:rFonts w:hint="eastAsia" w:ascii="黑体" w:hAnsi="黑体" w:eastAsia="黑体"/>
          <w:sz w:val="30"/>
          <w:szCs w:val="30"/>
        </w:rPr>
        <w:t>四、培养过程</w:t>
      </w:r>
    </w:p>
    <w:p w14:paraId="33338CFC">
      <w:pPr>
        <w:adjustRightInd w:val="0"/>
        <w:snapToGrid w:val="0"/>
        <w:spacing w:line="580" w:lineRule="exact"/>
        <w:ind w:firstLine="602" w:firstLineChars="200"/>
        <w:rPr>
          <w:rFonts w:hint="eastAsia" w:ascii="楷体_GB2312" w:eastAsia="楷体_GB2312"/>
          <w:b/>
          <w:bCs/>
          <w:sz w:val="30"/>
          <w:szCs w:val="30"/>
        </w:rPr>
      </w:pPr>
      <w:r>
        <w:rPr>
          <w:rFonts w:hint="eastAsia" w:ascii="楷体_GB2312" w:eastAsia="楷体_GB2312"/>
          <w:b/>
          <w:bCs/>
          <w:sz w:val="30"/>
          <w:szCs w:val="30"/>
        </w:rPr>
        <w:t>1.课题设定</w:t>
      </w:r>
    </w:p>
    <w:p w14:paraId="4F618E0B">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（1）科研团队提出课题：由科研团队向学院提出，项目课题的主题和内容由团队自主设定；</w:t>
      </w:r>
    </w:p>
    <w:p w14:paraId="0560A6FF">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（2）学生自愿申请：由学生本人提出申请，导师审定；</w:t>
      </w:r>
    </w:p>
    <w:p w14:paraId="54E985E2">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（3）导师与学生双向选择；</w:t>
      </w:r>
    </w:p>
    <w:p w14:paraId="66D33120">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（4）学生、导师签订双方协议后生效。</w:t>
      </w:r>
    </w:p>
    <w:p w14:paraId="4F1089C4">
      <w:pPr>
        <w:adjustRightInd w:val="0"/>
        <w:snapToGrid w:val="0"/>
        <w:spacing w:line="580" w:lineRule="exact"/>
        <w:ind w:firstLine="602" w:firstLineChars="200"/>
        <w:rPr>
          <w:rFonts w:hint="eastAsia" w:ascii="楷体_GB2312" w:eastAsia="楷体_GB2312"/>
          <w:b/>
          <w:bCs/>
          <w:sz w:val="30"/>
          <w:szCs w:val="30"/>
        </w:rPr>
      </w:pPr>
      <w:r>
        <w:rPr>
          <w:rFonts w:hint="eastAsia" w:ascii="楷体_GB2312" w:eastAsia="楷体_GB2312"/>
          <w:b/>
          <w:bCs/>
          <w:sz w:val="30"/>
          <w:szCs w:val="30"/>
        </w:rPr>
        <w:t>2.科研团队过程管理</w:t>
      </w:r>
    </w:p>
    <w:p w14:paraId="718E3342">
      <w:pPr>
        <w:adjustRightInd w:val="0"/>
        <w:snapToGrid w:val="0"/>
        <w:spacing w:line="580" w:lineRule="exact"/>
        <w:ind w:firstLine="602" w:firstLineChars="200"/>
        <w:rPr>
          <w:rFonts w:hint="eastAsia" w:ascii="仿宋_GB2312" w:eastAsia="仿宋_GB2312"/>
          <w:sz w:val="30"/>
          <w:szCs w:val="30"/>
        </w:rPr>
      </w:pPr>
      <w:r>
        <w:rPr>
          <w:rFonts w:hint="eastAsia" w:ascii="仿宋_GB2312" w:eastAsia="仿宋_GB2312"/>
          <w:b/>
          <w:bCs/>
          <w:sz w:val="30"/>
          <w:szCs w:val="30"/>
        </w:rPr>
        <w:t>（1）课题指导。</w:t>
      </w:r>
      <w:r>
        <w:rPr>
          <w:rFonts w:hint="eastAsia" w:ascii="仿宋_GB2312" w:eastAsia="仿宋_GB2312"/>
          <w:sz w:val="30"/>
          <w:szCs w:val="30"/>
        </w:rPr>
        <w:t>课题组成员在指导教师指导下开展研究。指导教师应在学术思想、研究技术手段与研究方法、研究工作成果分析总结方面给予指导，引导学生自主学习、自主完成研究计划；应及时指导和跟踪研究活动，对研究活动作出评价、意见和建议；应注重学生创新思想的激发，培养团队的协作精神；应严格要求学生，注重学生综合素质的提高，培养学生科学研究的兴趣、实事求是的科学精神、坚韧顽强的意志品格。</w:t>
      </w:r>
    </w:p>
    <w:p w14:paraId="3FC3ADA2">
      <w:pPr>
        <w:adjustRightInd w:val="0"/>
        <w:snapToGrid w:val="0"/>
        <w:spacing w:line="580" w:lineRule="exact"/>
        <w:ind w:firstLine="602" w:firstLineChars="200"/>
        <w:rPr>
          <w:rFonts w:hint="eastAsia" w:ascii="仿宋_GB2312" w:eastAsia="仿宋_GB2312"/>
          <w:sz w:val="30"/>
          <w:szCs w:val="30"/>
        </w:rPr>
      </w:pPr>
      <w:r>
        <w:rPr>
          <w:rFonts w:hint="eastAsia" w:ascii="仿宋_GB2312" w:eastAsia="仿宋_GB2312"/>
          <w:b/>
          <w:bCs/>
          <w:sz w:val="30"/>
          <w:szCs w:val="30"/>
        </w:rPr>
        <w:t>（2）课题过程材料。</w:t>
      </w:r>
      <w:r>
        <w:rPr>
          <w:rFonts w:hint="eastAsia" w:ascii="仿宋_GB2312" w:eastAsia="仿宋_GB2312"/>
          <w:sz w:val="30"/>
          <w:szCs w:val="30"/>
        </w:rPr>
        <w:t>课题组成员对研究工作的详细过程（包括实验步骤、原始数据等内容）进行记录，课题负责人每半月至少组织一次项目组研讨会，讨论工作进展情况和研究心得体会，重点讨论所发生的问题和拟采取解决问题的方案，并做好讨论记录，以备中期检查和结题验收。</w:t>
      </w:r>
    </w:p>
    <w:p w14:paraId="28B6DEFD">
      <w:pPr>
        <w:adjustRightInd w:val="0"/>
        <w:snapToGrid w:val="0"/>
        <w:spacing w:line="580" w:lineRule="exact"/>
        <w:ind w:firstLine="602" w:firstLineChars="200"/>
        <w:rPr>
          <w:rFonts w:hint="eastAsia" w:ascii="仿宋_GB2312" w:eastAsia="仿宋_GB2312"/>
          <w:sz w:val="30"/>
          <w:szCs w:val="30"/>
        </w:rPr>
      </w:pPr>
      <w:r>
        <w:rPr>
          <w:rFonts w:hint="eastAsia" w:ascii="仿宋_GB2312" w:eastAsia="仿宋_GB2312"/>
          <w:b/>
          <w:bCs/>
          <w:sz w:val="30"/>
          <w:szCs w:val="30"/>
        </w:rPr>
        <w:t>（3）课题交流。</w:t>
      </w:r>
      <w:r>
        <w:rPr>
          <w:rFonts w:hint="eastAsia" w:ascii="仿宋_GB2312" w:eastAsia="仿宋_GB2312"/>
          <w:sz w:val="30"/>
          <w:szCs w:val="30"/>
        </w:rPr>
        <w:t>为开拓学生视野，引导学生的科学研究兴趣，展示本科生科研计划训练成果，学院通过宣传媒体和活动媒介的方式定期组织课题交流活动，为学生提供科研交流平台。鼓励推荐本科生科研计划训练成果参加高水平的学科竞赛、参加中国国际“互联网+”大学生创新创业大赛、“挑战杯”创业计划竞赛等创新创业类、科技作品类竞赛以及“青年红色筑梦之旅”等活动，以此促进项目质量提升。</w:t>
      </w:r>
    </w:p>
    <w:p w14:paraId="0A95469D">
      <w:pPr>
        <w:adjustRightInd w:val="0"/>
        <w:snapToGrid w:val="0"/>
        <w:spacing w:line="580" w:lineRule="exact"/>
        <w:ind w:firstLine="602" w:firstLineChars="200"/>
        <w:rPr>
          <w:rFonts w:hint="eastAsia" w:ascii="楷体_GB2312" w:eastAsia="楷体_GB2312"/>
          <w:b/>
          <w:bCs/>
          <w:sz w:val="30"/>
          <w:szCs w:val="30"/>
        </w:rPr>
      </w:pPr>
      <w:r>
        <w:rPr>
          <w:rFonts w:hint="eastAsia" w:ascii="楷体_GB2312" w:eastAsia="楷体_GB2312"/>
          <w:b/>
          <w:bCs/>
          <w:sz w:val="30"/>
          <w:szCs w:val="30"/>
        </w:rPr>
        <w:t>3.学分替代</w:t>
      </w:r>
    </w:p>
    <w:p w14:paraId="66D87720">
      <w:pPr>
        <w:adjustRightInd w:val="0"/>
        <w:snapToGrid w:val="0"/>
        <w:spacing w:line="580" w:lineRule="exact"/>
        <w:ind w:firstLine="600" w:firstLineChars="200"/>
        <w:rPr>
          <w:rFonts w:hint="eastAsia" w:ascii="仿宋_GB2312" w:eastAsia="仿宋_GB2312"/>
          <w:sz w:val="30"/>
          <w:szCs w:val="30"/>
          <w:lang w:eastAsia="zh-CN"/>
        </w:rPr>
      </w:pPr>
      <w:r>
        <w:rPr>
          <w:rFonts w:hint="eastAsia" w:ascii="仿宋_GB2312" w:eastAsia="仿宋_GB2312"/>
          <w:sz w:val="30"/>
          <w:szCs w:val="30"/>
        </w:rPr>
        <w:t>参与科教协同路径学生</w:t>
      </w:r>
      <w:r>
        <w:rPr>
          <w:rFonts w:hint="eastAsia" w:ascii="仿宋_GB2312" w:eastAsia="仿宋_GB2312"/>
          <w:sz w:val="30"/>
          <w:szCs w:val="30"/>
          <w:lang w:val="en-US" w:eastAsia="zh-CN"/>
        </w:rPr>
        <w:t>达到以下课程目标，</w:t>
      </w:r>
      <w:r>
        <w:rPr>
          <w:rFonts w:hint="eastAsia" w:ascii="仿宋_GB2312" w:eastAsia="仿宋_GB2312"/>
          <w:sz w:val="30"/>
          <w:szCs w:val="30"/>
        </w:rPr>
        <w:t>可以申请学分认定</w:t>
      </w:r>
      <w:r>
        <w:rPr>
          <w:rFonts w:hint="eastAsia" w:ascii="仿宋_GB2312" w:eastAsia="仿宋_GB2312"/>
          <w:sz w:val="30"/>
          <w:szCs w:val="30"/>
          <w:lang w:eastAsia="zh-CN"/>
        </w:rPr>
        <w:t>。</w:t>
      </w:r>
    </w:p>
    <w:tbl>
      <w:tblPr>
        <w:tblStyle w:val="38"/>
        <w:tblW w:w="765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98"/>
        <w:gridCol w:w="3129"/>
        <w:gridCol w:w="3129"/>
      </w:tblGrid>
      <w:tr w14:paraId="65F72D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1398" w:type="dxa"/>
            <w:vAlign w:val="top"/>
          </w:tcPr>
          <w:p w14:paraId="52A64262">
            <w:pPr>
              <w:pStyle w:val="37"/>
              <w:spacing w:before="178" w:line="220" w:lineRule="auto"/>
              <w:ind w:left="280"/>
            </w:pPr>
            <w:r>
              <w:rPr>
                <w:b/>
                <w:bCs/>
                <w:spacing w:val="-3"/>
              </w:rPr>
              <w:t>课程目标</w:t>
            </w:r>
          </w:p>
        </w:tc>
        <w:tc>
          <w:tcPr>
            <w:tcW w:w="3129" w:type="dxa"/>
            <w:vAlign w:val="top"/>
          </w:tcPr>
          <w:p w14:paraId="417E9636">
            <w:pPr>
              <w:pStyle w:val="37"/>
              <w:spacing w:before="177" w:line="220" w:lineRule="auto"/>
              <w:jc w:val="center"/>
            </w:pPr>
            <w:r>
              <w:rPr>
                <w:b/>
                <w:bCs/>
                <w:spacing w:val="-4"/>
              </w:rPr>
              <w:t>具体内容</w:t>
            </w:r>
          </w:p>
        </w:tc>
        <w:tc>
          <w:tcPr>
            <w:tcW w:w="3129" w:type="dxa"/>
            <w:vAlign w:val="center"/>
          </w:tcPr>
          <w:p w14:paraId="515C5A69">
            <w:pPr>
              <w:spacing w:line="276" w:lineRule="auto"/>
              <w:jc w:val="center"/>
              <w:rPr>
                <w:b/>
                <w:bCs/>
                <w:spacing w:val="-4"/>
              </w:rPr>
            </w:pPr>
            <w:r>
              <w:rPr>
                <w:rFonts w:eastAsia="等线"/>
                <w:b/>
                <w:szCs w:val="21"/>
              </w:rPr>
              <w:t>毕业要求指标点</w:t>
            </w:r>
          </w:p>
        </w:tc>
      </w:tr>
      <w:tr w14:paraId="626D69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0" w:hRule="atLeast"/>
          <w:jc w:val="center"/>
        </w:trPr>
        <w:tc>
          <w:tcPr>
            <w:tcW w:w="1398" w:type="dxa"/>
            <w:vAlign w:val="center"/>
          </w:tcPr>
          <w:p w14:paraId="6EECE316">
            <w:pPr>
              <w:keepNext w:val="0"/>
              <w:keepLines w:val="0"/>
              <w:widowControl/>
              <w:suppressLineNumbers w:val="0"/>
              <w:jc w:val="center"/>
              <w:textAlignment w:val="center"/>
            </w:pPr>
            <w:r>
              <w:rPr>
                <w:rFonts w:hint="eastAsia" w:ascii="宋体" w:hAnsi="宋体" w:eastAsia="宋体" w:cs="宋体"/>
                <w:i w:val="0"/>
                <w:iCs w:val="0"/>
                <w:color w:val="000000"/>
                <w:kern w:val="0"/>
                <w:sz w:val="21"/>
                <w:szCs w:val="21"/>
                <w:u w:val="none"/>
                <w:lang w:val="en-US" w:eastAsia="zh-CN" w:bidi="ar"/>
              </w:rPr>
              <w:t>目标1</w:t>
            </w:r>
          </w:p>
        </w:tc>
        <w:tc>
          <w:tcPr>
            <w:tcW w:w="3129" w:type="dxa"/>
            <w:vAlign w:val="center"/>
          </w:tcPr>
          <w:p w14:paraId="0F33100E">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培养查阅资料文献的能力，能够认识到解决专业工程设计问题有多种方案可选择，能够通过文献研究寻求可替代的解决方案。 </w:t>
            </w:r>
          </w:p>
        </w:tc>
        <w:tc>
          <w:tcPr>
            <w:tcW w:w="3129" w:type="dxa"/>
            <w:vAlign w:val="center"/>
          </w:tcPr>
          <w:p w14:paraId="7341C4B7">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 能认识到解决问题有多种方案可选择，会通过文献研究寻求可替代的解决方案</w:t>
            </w:r>
          </w:p>
        </w:tc>
      </w:tr>
      <w:tr w14:paraId="0DCBC2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 w:hRule="atLeast"/>
          <w:jc w:val="center"/>
        </w:trPr>
        <w:tc>
          <w:tcPr>
            <w:tcW w:w="1398" w:type="dxa"/>
            <w:vAlign w:val="center"/>
          </w:tcPr>
          <w:p w14:paraId="297F20C7">
            <w:pPr>
              <w:keepNext w:val="0"/>
              <w:keepLines w:val="0"/>
              <w:widowControl/>
              <w:suppressLineNumbers w:val="0"/>
              <w:jc w:val="center"/>
              <w:textAlignment w:val="center"/>
            </w:pPr>
            <w:r>
              <w:rPr>
                <w:rFonts w:hint="eastAsia" w:ascii="宋体" w:hAnsi="宋体" w:eastAsia="宋体" w:cs="宋体"/>
                <w:i w:val="0"/>
                <w:iCs w:val="0"/>
                <w:color w:val="000000"/>
                <w:kern w:val="0"/>
                <w:sz w:val="21"/>
                <w:szCs w:val="21"/>
                <w:u w:val="none"/>
                <w:lang w:val="en-US" w:eastAsia="zh-CN" w:bidi="ar"/>
              </w:rPr>
              <w:t>目标2</w:t>
            </w:r>
          </w:p>
        </w:tc>
        <w:tc>
          <w:tcPr>
            <w:tcW w:w="3129" w:type="dxa"/>
            <w:vAlign w:val="center"/>
          </w:tcPr>
          <w:p w14:paraId="32EB1649">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能够综合运用电路分析基础、信号与系统分析、模拟电子电路、数字逻辑、单片机原理及应用等基本原理和知识对通信工程相关专业问题进行综合归纳、关联分析、识别与判断，分析影响专业工程设计过程的各种因素，并获得有效结论。</w:t>
            </w:r>
          </w:p>
        </w:tc>
        <w:tc>
          <w:tcPr>
            <w:tcW w:w="3129" w:type="dxa"/>
            <w:vAlign w:val="center"/>
          </w:tcPr>
          <w:p w14:paraId="30D4F442">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 能运用基本原理，借助文献研究，分析过程的影响因素，获得有效结论。</w:t>
            </w:r>
          </w:p>
        </w:tc>
      </w:tr>
      <w:tr w14:paraId="6A8AB4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1" w:hRule="atLeast"/>
          <w:jc w:val="center"/>
        </w:trPr>
        <w:tc>
          <w:tcPr>
            <w:tcW w:w="1398" w:type="dxa"/>
            <w:vAlign w:val="center"/>
          </w:tcPr>
          <w:p w14:paraId="4D96F72B">
            <w:pPr>
              <w:keepNext w:val="0"/>
              <w:keepLines w:val="0"/>
              <w:widowControl/>
              <w:suppressLineNumbers w:val="0"/>
              <w:jc w:val="center"/>
              <w:textAlignment w:val="center"/>
            </w:pPr>
            <w:r>
              <w:rPr>
                <w:rFonts w:hint="eastAsia" w:ascii="宋体" w:hAnsi="宋体" w:eastAsia="宋体" w:cs="宋体"/>
                <w:i w:val="0"/>
                <w:iCs w:val="0"/>
                <w:color w:val="000000"/>
                <w:kern w:val="0"/>
                <w:sz w:val="21"/>
                <w:szCs w:val="21"/>
                <w:u w:val="none"/>
                <w:lang w:val="en-US" w:eastAsia="zh-CN" w:bidi="ar"/>
              </w:rPr>
              <w:t>目标3</w:t>
            </w:r>
          </w:p>
        </w:tc>
        <w:tc>
          <w:tcPr>
            <w:tcW w:w="3129" w:type="dxa"/>
            <w:vAlign w:val="center"/>
          </w:tcPr>
          <w:p w14:paraId="59BC4D92">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通过电子电路或者电子产品设计、制作和系统组装调试等环节，掌握工程设计和产品开发全周期、全流程的基本设计</w:t>
            </w:r>
            <w:r>
              <w:rPr>
                <w:rFonts w:hint="default" w:ascii="宋体" w:hAnsi="宋体" w:eastAsia="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开发方法和技术，明确影响设计目标和技术方案的各种因素，在设计中体现创新意识。</w:t>
            </w:r>
          </w:p>
        </w:tc>
        <w:tc>
          <w:tcPr>
            <w:tcW w:w="3129" w:type="dxa"/>
            <w:vAlign w:val="center"/>
          </w:tcPr>
          <w:p w14:paraId="6D8247DD">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3-1  </w:t>
            </w:r>
            <w:r>
              <w:rPr>
                <w:rFonts w:hint="eastAsia" w:ascii="宋体" w:hAnsi="宋体" w:eastAsia="宋体" w:cs="宋体"/>
                <w:i w:val="0"/>
                <w:iCs w:val="0"/>
                <w:color w:val="000000"/>
                <w:kern w:val="0"/>
                <w:sz w:val="21"/>
                <w:szCs w:val="21"/>
                <w:u w:val="none"/>
                <w:lang w:val="en-US" w:eastAsia="zh-CN" w:bidi="ar"/>
              </w:rPr>
              <w:t>掌握电子信息类领域工程设计和产品开发全周期、全流程的基本设计</w:t>
            </w:r>
            <w:r>
              <w:rPr>
                <w:rFonts w:hint="default" w:ascii="宋体" w:hAnsi="宋体" w:eastAsia="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开发方法和技术，了解影响设计目标和技术方案的各种因素。</w:t>
            </w:r>
          </w:p>
        </w:tc>
      </w:tr>
      <w:tr w14:paraId="0A6832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jc w:val="center"/>
        </w:trPr>
        <w:tc>
          <w:tcPr>
            <w:tcW w:w="1398" w:type="dxa"/>
            <w:vAlign w:val="center"/>
          </w:tcPr>
          <w:p w14:paraId="5801CDA2">
            <w:pPr>
              <w:keepNext w:val="0"/>
              <w:keepLines w:val="0"/>
              <w:widowControl/>
              <w:suppressLineNumbers w:val="0"/>
              <w:jc w:val="center"/>
              <w:textAlignment w:val="center"/>
            </w:pPr>
            <w:r>
              <w:rPr>
                <w:rFonts w:hint="eastAsia" w:ascii="宋体" w:hAnsi="宋体" w:eastAsia="宋体" w:cs="宋体"/>
                <w:i w:val="0"/>
                <w:iCs w:val="0"/>
                <w:color w:val="000000"/>
                <w:kern w:val="0"/>
                <w:sz w:val="21"/>
                <w:szCs w:val="21"/>
                <w:u w:val="none"/>
                <w:lang w:val="en-US" w:eastAsia="zh-CN" w:bidi="ar"/>
              </w:rPr>
              <w:t>目标4</w:t>
            </w:r>
          </w:p>
        </w:tc>
        <w:tc>
          <w:tcPr>
            <w:tcW w:w="3129" w:type="dxa"/>
            <w:vAlign w:val="center"/>
          </w:tcPr>
          <w:p w14:paraId="780E6306">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在通信系统的方案设计、问题解决、测试方法制定等工程设计过程中培养创新意识。</w:t>
            </w:r>
          </w:p>
        </w:tc>
        <w:tc>
          <w:tcPr>
            <w:tcW w:w="3129" w:type="dxa"/>
            <w:vAlign w:val="center"/>
          </w:tcPr>
          <w:p w14:paraId="5FEA609F">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3-3 能够进行通信系统设计，在设计中体现创新意识。</w:t>
            </w:r>
          </w:p>
        </w:tc>
      </w:tr>
      <w:tr w14:paraId="3F8E5A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jc w:val="center"/>
        </w:trPr>
        <w:tc>
          <w:tcPr>
            <w:tcW w:w="1398" w:type="dxa"/>
            <w:vAlign w:val="center"/>
          </w:tcPr>
          <w:p w14:paraId="0BD3C7F5">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目标5</w:t>
            </w:r>
          </w:p>
        </w:tc>
        <w:tc>
          <w:tcPr>
            <w:tcW w:w="3129" w:type="dxa"/>
            <w:vAlign w:val="center"/>
          </w:tcPr>
          <w:p w14:paraId="0EDA7493">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针对产品设计，能够考虑安全、健康、法律、文化及环境等制约因素，并理解应承担的责任。</w:t>
            </w:r>
          </w:p>
        </w:tc>
        <w:tc>
          <w:tcPr>
            <w:tcW w:w="3129" w:type="dxa"/>
            <w:vAlign w:val="center"/>
          </w:tcPr>
          <w:p w14:paraId="52EB2260">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3-4  </w:t>
            </w:r>
            <w:r>
              <w:rPr>
                <w:rFonts w:hint="eastAsia" w:ascii="宋体" w:hAnsi="宋体" w:eastAsia="宋体" w:cs="宋体"/>
                <w:i w:val="0"/>
                <w:iCs w:val="0"/>
                <w:color w:val="000000"/>
                <w:kern w:val="0"/>
                <w:sz w:val="21"/>
                <w:szCs w:val="21"/>
                <w:u w:val="none"/>
                <w:lang w:val="en-US" w:eastAsia="zh-CN" w:bidi="ar"/>
              </w:rPr>
              <w:t>在设计中能够考虑安全、健康、法律、文化及环境等制约因素。</w:t>
            </w:r>
          </w:p>
        </w:tc>
      </w:tr>
      <w:tr w14:paraId="05C875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jc w:val="center"/>
        </w:trPr>
        <w:tc>
          <w:tcPr>
            <w:tcW w:w="1398" w:type="dxa"/>
            <w:vAlign w:val="center"/>
          </w:tcPr>
          <w:p w14:paraId="6F7B7954">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目标6</w:t>
            </w:r>
          </w:p>
        </w:tc>
        <w:tc>
          <w:tcPr>
            <w:tcW w:w="3129" w:type="dxa"/>
            <w:vAlign w:val="center"/>
          </w:tcPr>
          <w:p w14:paraId="5DF54ABE">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培养通信系统方案设计的能力、电路参数计算与电路系统设计的能力、测试与分析的能力，能够基于科学原理并采用科学的方法对通信领域复杂工程问题进行研究。</w:t>
            </w:r>
          </w:p>
        </w:tc>
        <w:tc>
          <w:tcPr>
            <w:tcW w:w="3129" w:type="dxa"/>
            <w:vAlign w:val="center"/>
          </w:tcPr>
          <w:p w14:paraId="32319CFE">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4-1 能够基于科学原理，通过文献研究，调研和分析解决通信领域复杂工程问题的方案。</w:t>
            </w:r>
          </w:p>
        </w:tc>
      </w:tr>
      <w:tr w14:paraId="703715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jc w:val="center"/>
        </w:trPr>
        <w:tc>
          <w:tcPr>
            <w:tcW w:w="1398" w:type="dxa"/>
            <w:vAlign w:val="center"/>
          </w:tcPr>
          <w:p w14:paraId="504C14B5">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目标7</w:t>
            </w:r>
          </w:p>
        </w:tc>
        <w:tc>
          <w:tcPr>
            <w:tcW w:w="3129" w:type="dxa"/>
            <w:vAlign w:val="center"/>
          </w:tcPr>
          <w:p w14:paraId="635EAB83">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针对专业工程项目，开发或选用满足设计需求的现代工具，模拟和预测专业问题，并能够分析其局限性</w:t>
            </w:r>
          </w:p>
        </w:tc>
        <w:tc>
          <w:tcPr>
            <w:tcW w:w="3129" w:type="dxa"/>
            <w:vAlign w:val="center"/>
          </w:tcPr>
          <w:p w14:paraId="1486621A">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5-3能够针对具体的对象，开发或选用满足特定需求的现代工具，模拟和预测专业问题，并能够分析其局限性。</w:t>
            </w:r>
          </w:p>
        </w:tc>
      </w:tr>
      <w:tr w14:paraId="2AB19F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jc w:val="center"/>
        </w:trPr>
        <w:tc>
          <w:tcPr>
            <w:tcW w:w="1398" w:type="dxa"/>
            <w:vAlign w:val="center"/>
          </w:tcPr>
          <w:p w14:paraId="05D948BB">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目标8</w:t>
            </w:r>
          </w:p>
        </w:tc>
        <w:tc>
          <w:tcPr>
            <w:tcW w:w="3129" w:type="dxa"/>
            <w:vAlign w:val="center"/>
          </w:tcPr>
          <w:p w14:paraId="02909ADB">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在电子电路或者电子产品设计、制作和系统组装调试等环节，理解工程师对公众的安全、健康和福祉，以及环境保护的社会责任，能够在工程实践中自觉履行责任。</w:t>
            </w:r>
          </w:p>
        </w:tc>
        <w:tc>
          <w:tcPr>
            <w:tcW w:w="3129" w:type="dxa"/>
            <w:vAlign w:val="center"/>
          </w:tcPr>
          <w:p w14:paraId="04A37BB5">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8-3  </w:t>
            </w:r>
            <w:r>
              <w:rPr>
                <w:rFonts w:hint="eastAsia" w:ascii="宋体" w:hAnsi="宋体" w:eastAsia="宋体" w:cs="宋体"/>
                <w:i w:val="0"/>
                <w:iCs w:val="0"/>
                <w:color w:val="000000"/>
                <w:kern w:val="0"/>
                <w:sz w:val="21"/>
                <w:szCs w:val="21"/>
                <w:u w:val="none"/>
                <w:lang w:val="en-US" w:eastAsia="zh-CN" w:bidi="ar"/>
              </w:rPr>
              <w:t>理解工程师对公众的安全、健康和福祉，以及环境保护的社会责任，能够在工程实践中自觉履行责任。</w:t>
            </w:r>
          </w:p>
        </w:tc>
      </w:tr>
      <w:tr w14:paraId="30274B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jc w:val="center"/>
        </w:trPr>
        <w:tc>
          <w:tcPr>
            <w:tcW w:w="1398" w:type="dxa"/>
            <w:vAlign w:val="center"/>
          </w:tcPr>
          <w:p w14:paraId="49482542">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目标9</w:t>
            </w:r>
          </w:p>
        </w:tc>
        <w:tc>
          <w:tcPr>
            <w:tcW w:w="3129" w:type="dxa"/>
            <w:vAlign w:val="center"/>
          </w:tcPr>
          <w:p w14:paraId="74090410">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实训过程中，需掌握过程中使用到的其他学科的知识，并且在团队中承担自己的责任，善于沟通，积极反馈自己的意见并听取他人的建议，共同完成团队目标。</w:t>
            </w:r>
          </w:p>
        </w:tc>
        <w:tc>
          <w:tcPr>
            <w:tcW w:w="3129" w:type="dxa"/>
            <w:vAlign w:val="center"/>
          </w:tcPr>
          <w:p w14:paraId="634F2F08">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9-1  </w:t>
            </w:r>
            <w:r>
              <w:rPr>
                <w:rFonts w:hint="eastAsia" w:ascii="宋体" w:hAnsi="宋体" w:eastAsia="宋体" w:cs="宋体"/>
                <w:i w:val="0"/>
                <w:iCs w:val="0"/>
                <w:color w:val="000000"/>
                <w:kern w:val="0"/>
                <w:sz w:val="21"/>
                <w:szCs w:val="21"/>
                <w:u w:val="none"/>
                <w:lang w:val="en-US" w:eastAsia="zh-CN" w:bidi="ar"/>
              </w:rPr>
              <w:t>具有跨学科适应能力和团队合作精神，能够在团队中独立或与其他学科的成员有效沟通，合作开展工作。</w:t>
            </w:r>
          </w:p>
        </w:tc>
      </w:tr>
      <w:tr w14:paraId="365CE9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jc w:val="center"/>
        </w:trPr>
        <w:tc>
          <w:tcPr>
            <w:tcW w:w="1398" w:type="dxa"/>
            <w:vAlign w:val="center"/>
          </w:tcPr>
          <w:p w14:paraId="792D031D">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目标10</w:t>
            </w:r>
          </w:p>
        </w:tc>
        <w:tc>
          <w:tcPr>
            <w:tcW w:w="3129" w:type="dxa"/>
            <w:vAlign w:val="center"/>
          </w:tcPr>
          <w:p w14:paraId="4FADFC10">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培养撰写报告和设计文稿的能力，综合应用陈述发言、清晰表达或回应指令等方式，培养与业界同行、社会公众进行有效沟通和交流的能力，并能理解其差异性。</w:t>
            </w:r>
          </w:p>
        </w:tc>
        <w:tc>
          <w:tcPr>
            <w:tcW w:w="3129" w:type="dxa"/>
            <w:vAlign w:val="center"/>
          </w:tcPr>
          <w:p w14:paraId="4C912E1A">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10-1能就通信专业问题，以口头、文稿、图表等方式，准确表达自己的观点，回应质疑，理解与业界同行和社会公众交流的差异性。</w:t>
            </w:r>
          </w:p>
        </w:tc>
      </w:tr>
      <w:tr w14:paraId="3CD63F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jc w:val="center"/>
        </w:trPr>
        <w:tc>
          <w:tcPr>
            <w:tcW w:w="1398" w:type="dxa"/>
            <w:vAlign w:val="center"/>
          </w:tcPr>
          <w:p w14:paraId="2247B392">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目标11</w:t>
            </w:r>
          </w:p>
        </w:tc>
        <w:tc>
          <w:tcPr>
            <w:tcW w:w="3129" w:type="dxa"/>
            <w:vAlign w:val="center"/>
          </w:tcPr>
          <w:p w14:paraId="0E6B2AEC">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培养学生自主学习的能力，包括技术理解力、凝练综述能力和提出问题的能力，能够适应行业以及社会的发展变化。</w:t>
            </w:r>
          </w:p>
        </w:tc>
        <w:tc>
          <w:tcPr>
            <w:tcW w:w="3129" w:type="dxa"/>
            <w:vAlign w:val="center"/>
          </w:tcPr>
          <w:p w14:paraId="62A26370">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12-2具有自主学习的能力，包括技术理解力，凝练综述能力和提出问题的能力等，能够适应行业及社会的发展变化。</w:t>
            </w:r>
          </w:p>
        </w:tc>
      </w:tr>
    </w:tbl>
    <w:p w14:paraId="74F1A95C">
      <w:pPr>
        <w:adjustRightInd w:val="0"/>
        <w:snapToGrid w:val="0"/>
        <w:spacing w:line="580" w:lineRule="exact"/>
        <w:ind w:firstLine="600" w:firstLineChars="200"/>
        <w:rPr>
          <w:rFonts w:hint="eastAsia" w:ascii="仿宋_GB2312" w:eastAsia="仿宋_GB2312"/>
          <w:sz w:val="30"/>
          <w:szCs w:val="30"/>
        </w:rPr>
      </w:pPr>
    </w:p>
    <w:p w14:paraId="343171A9">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学分认定如下：</w:t>
      </w:r>
    </w:p>
    <w:p w14:paraId="6A010293">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（1）可认定专业工程设计学分，需选课并提交相关材料；</w:t>
      </w:r>
    </w:p>
    <w:p w14:paraId="1E3B0ADE">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（2）可认定电子工程训练学分，需选课并提交相关材料;</w:t>
      </w:r>
    </w:p>
    <w:p w14:paraId="17150681">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（3）可认定为创新创业拓展课程学分（具体认定方法见学校相应文件）；</w:t>
      </w:r>
    </w:p>
    <w:p w14:paraId="4AD6480C">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（4）</w:t>
      </w:r>
      <w:r>
        <w:rPr>
          <w:rFonts w:ascii="仿宋_GB2312" w:eastAsia="仿宋_GB2312"/>
          <w:sz w:val="30"/>
          <w:szCs w:val="30"/>
        </w:rPr>
        <w:t>根据实际承担的岗位内容，可认定为</w:t>
      </w:r>
      <w:r>
        <w:rPr>
          <w:rFonts w:hint="eastAsia" w:ascii="仿宋_GB2312" w:eastAsia="仿宋_GB2312"/>
          <w:sz w:val="30"/>
          <w:szCs w:val="30"/>
        </w:rPr>
        <w:t>多元化教育课程</w:t>
      </w:r>
      <w:r>
        <w:rPr>
          <w:rFonts w:ascii="仿宋_GB2312" w:eastAsia="仿宋_GB2312"/>
          <w:sz w:val="30"/>
          <w:szCs w:val="30"/>
        </w:rPr>
        <w:t>学分，需要提交申请并交学院相关课程组进行讨论后认定</w:t>
      </w:r>
      <w:r>
        <w:rPr>
          <w:rFonts w:hint="eastAsia" w:ascii="仿宋_GB2312" w:eastAsia="仿宋_GB2312"/>
          <w:sz w:val="30"/>
          <w:szCs w:val="30"/>
        </w:rPr>
        <w:t>。</w:t>
      </w:r>
    </w:p>
    <w:p w14:paraId="64275D40">
      <w:pPr>
        <w:adjustRightInd w:val="0"/>
        <w:snapToGrid w:val="0"/>
        <w:spacing w:line="580" w:lineRule="exact"/>
        <w:ind w:firstLine="602" w:firstLineChars="200"/>
        <w:rPr>
          <w:rFonts w:hint="eastAsia" w:ascii="楷体_GB2312" w:eastAsia="楷体_GB2312"/>
          <w:b/>
          <w:bCs/>
          <w:sz w:val="30"/>
          <w:szCs w:val="30"/>
        </w:rPr>
      </w:pPr>
      <w:r>
        <w:rPr>
          <w:rFonts w:hint="eastAsia" w:ascii="楷体_GB2312" w:eastAsia="楷体_GB2312"/>
          <w:b/>
          <w:bCs/>
          <w:sz w:val="30"/>
          <w:szCs w:val="30"/>
        </w:rPr>
        <w:t>4.结题验收</w:t>
      </w:r>
    </w:p>
    <w:p w14:paraId="55315463">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学院负责组织结项工作（每年一次）。</w:t>
      </w:r>
    </w:p>
    <w:p w14:paraId="607F48A2">
      <w:pPr>
        <w:adjustRightInd w:val="0"/>
        <w:snapToGrid w:val="0"/>
        <w:spacing w:line="580" w:lineRule="exact"/>
        <w:ind w:firstLine="602" w:firstLineChars="200"/>
        <w:rPr>
          <w:rFonts w:hint="eastAsia" w:ascii="楷体_GB2312" w:eastAsia="楷体_GB2312"/>
          <w:b/>
          <w:bCs/>
          <w:sz w:val="30"/>
          <w:szCs w:val="30"/>
        </w:rPr>
      </w:pPr>
      <w:r>
        <w:rPr>
          <w:rFonts w:hint="eastAsia" w:ascii="楷体_GB2312" w:eastAsia="楷体_GB2312"/>
          <w:b/>
          <w:bCs/>
          <w:sz w:val="30"/>
          <w:szCs w:val="30"/>
        </w:rPr>
        <w:t>5.奖惩措施</w:t>
      </w:r>
    </w:p>
    <w:p w14:paraId="60D3B7C2">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导师指导工作计入学院岗位聘任“教育教学类工作”条目；学生在素质综合测评和研究生推免中参照自治区级大学生创新训练计划项目结题的分值进行加分。结题成果优秀的，学院给与一定的奖励，具体金额根据实际情况确定。在企业奖学金中单设奖项，学生在素质综合测评和研究生推免中参照国家级大学生创新训练计划项目结题的分值进行加分。（如已取得大学生创新训练计划项目，按项目最高级别加分，不重复加分）。</w:t>
      </w:r>
    </w:p>
    <w:p w14:paraId="08CB46FF">
      <w:pPr>
        <w:adjustRightInd w:val="0"/>
        <w:snapToGrid w:val="0"/>
        <w:spacing w:line="580" w:lineRule="exact"/>
        <w:ind w:firstLine="600" w:firstLineChars="200"/>
        <w:rPr>
          <w:rFonts w:hint="eastAsia" w:ascii="黑体" w:hAnsi="黑体" w:eastAsia="黑体"/>
          <w:sz w:val="30"/>
          <w:szCs w:val="30"/>
        </w:rPr>
      </w:pPr>
      <w:r>
        <w:rPr>
          <w:rFonts w:hint="eastAsia" w:ascii="黑体" w:hAnsi="黑体" w:eastAsia="黑体"/>
          <w:sz w:val="30"/>
          <w:szCs w:val="30"/>
        </w:rPr>
        <w:t>五、其它</w:t>
      </w:r>
    </w:p>
    <w:p w14:paraId="21AF2BC7">
      <w:pPr>
        <w:adjustRightInd w:val="0"/>
        <w:snapToGrid w:val="0"/>
        <w:spacing w:line="580" w:lineRule="exact"/>
        <w:ind w:firstLine="600" w:firstLineChars="200"/>
        <w:rPr>
          <w:rFonts w:hint="eastAsia" w:ascii="仿宋_GB2312" w:eastAsia="仿宋_GB2312"/>
          <w:sz w:val="30"/>
          <w:szCs w:val="30"/>
        </w:rPr>
      </w:pPr>
      <w:r>
        <w:rPr>
          <w:rFonts w:hint="eastAsia" w:ascii="仿宋_GB2312" w:eastAsia="仿宋_GB2312"/>
          <w:sz w:val="30"/>
          <w:szCs w:val="30"/>
        </w:rPr>
        <w:t>本实施方案由信息与通信学院负责解释。</w:t>
      </w:r>
    </w:p>
    <w:p w14:paraId="0BA2FC19">
      <w:pPr>
        <w:adjustRightInd w:val="0"/>
        <w:snapToGrid w:val="0"/>
        <w:spacing w:line="580" w:lineRule="exact"/>
        <w:ind w:firstLine="600" w:firstLineChars="200"/>
        <w:rPr>
          <w:rFonts w:hint="eastAsia" w:ascii="仿宋_GB2312" w:eastAsia="仿宋_GB2312"/>
          <w:sz w:val="30"/>
          <w:szCs w:val="30"/>
        </w:rPr>
      </w:pPr>
    </w:p>
    <w:p w14:paraId="527F8FFF">
      <w:pPr>
        <w:adjustRightInd w:val="0"/>
        <w:snapToGrid w:val="0"/>
        <w:spacing w:line="580" w:lineRule="exact"/>
        <w:ind w:firstLine="600" w:firstLineChars="200"/>
        <w:rPr>
          <w:rFonts w:hint="eastAsia" w:ascii="仿宋_GB2312" w:eastAsia="仿宋_GB2312"/>
          <w:sz w:val="30"/>
          <w:szCs w:val="30"/>
        </w:rPr>
      </w:pPr>
    </w:p>
    <w:p w14:paraId="5BDAA7D1">
      <w:pPr>
        <w:adjustRightInd w:val="0"/>
        <w:snapToGrid w:val="0"/>
        <w:spacing w:line="580" w:lineRule="exact"/>
        <w:ind w:firstLine="600" w:firstLineChars="200"/>
        <w:rPr>
          <w:rFonts w:hint="eastAsia" w:ascii="仿宋_GB2312" w:eastAsia="仿宋_GB2312"/>
          <w:sz w:val="30"/>
          <w:szCs w:val="30"/>
        </w:rPr>
      </w:pPr>
    </w:p>
    <w:p w14:paraId="323E98F2">
      <w:pPr>
        <w:adjustRightInd w:val="0"/>
        <w:snapToGrid w:val="0"/>
        <w:spacing w:line="580" w:lineRule="exact"/>
        <w:ind w:firstLine="600" w:firstLineChars="200"/>
        <w:jc w:val="right"/>
        <w:rPr>
          <w:rFonts w:hint="eastAsia" w:ascii="仿宋_GB2312" w:eastAsia="仿宋_GB2312"/>
          <w:sz w:val="30"/>
          <w:szCs w:val="30"/>
        </w:rPr>
      </w:pPr>
      <w:r>
        <w:rPr>
          <w:rFonts w:hint="eastAsia" w:ascii="仿宋_GB2312" w:eastAsia="仿宋_GB2312"/>
          <w:sz w:val="30"/>
          <w:szCs w:val="30"/>
        </w:rPr>
        <w:t>信息与通信学院</w:t>
      </w:r>
    </w:p>
    <w:p w14:paraId="27D5BB7A">
      <w:pPr>
        <w:adjustRightInd w:val="0"/>
        <w:snapToGrid w:val="0"/>
        <w:spacing w:line="580" w:lineRule="exact"/>
        <w:ind w:firstLine="600" w:firstLineChars="200"/>
        <w:jc w:val="right"/>
        <w:rPr>
          <w:rFonts w:hint="eastAsia" w:ascii="仿宋_GB2312" w:eastAsia="仿宋_GB2312"/>
          <w:sz w:val="30"/>
          <w:szCs w:val="30"/>
        </w:rPr>
      </w:pPr>
      <w:r>
        <w:rPr>
          <w:rFonts w:ascii="仿宋_GB2312" w:eastAsia="仿宋_GB2312"/>
          <w:sz w:val="30"/>
          <w:szCs w:val="30"/>
        </w:rPr>
        <w:t>2025年</w:t>
      </w:r>
      <w:r>
        <w:rPr>
          <w:rFonts w:hint="eastAsia" w:ascii="仿宋_GB2312" w:eastAsia="仿宋_GB2312"/>
          <w:sz w:val="30"/>
          <w:szCs w:val="30"/>
        </w:rPr>
        <w:t>9</w:t>
      </w:r>
      <w:r>
        <w:rPr>
          <w:rFonts w:ascii="仿宋_GB2312" w:eastAsia="仿宋_GB2312"/>
          <w:sz w:val="30"/>
          <w:szCs w:val="30"/>
        </w:rPr>
        <w:t>月</w:t>
      </w:r>
      <w:r>
        <w:rPr>
          <w:rFonts w:hint="eastAsia" w:ascii="仿宋_GB2312" w:eastAsia="仿宋_GB2312"/>
          <w:sz w:val="30"/>
          <w:szCs w:val="30"/>
        </w:rPr>
        <w:t>30</w:t>
      </w:r>
      <w:r>
        <w:rPr>
          <w:rFonts w:ascii="仿宋_GB2312" w:eastAsia="仿宋_GB2312"/>
          <w:sz w:val="30"/>
          <w:szCs w:val="30"/>
        </w:rPr>
        <w:t>日</w:t>
      </w:r>
    </w:p>
    <w:sectPr>
      <w:pgSz w:w="11906" w:h="16838"/>
      <w:pgMar w:top="1418" w:right="1474"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_GBK">
    <w:panose1 w:val="02000000000000000000"/>
    <w:charset w:val="86"/>
    <w:family w:val="script"/>
    <w:pitch w:val="default"/>
    <w:sig w:usb0="A00002BF" w:usb1="38CF7CFA" w:usb2="00082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PSEMBED1">
    <w:panose1 w:val="02000000000000000000"/>
    <w:charset w:val="86"/>
    <w:family w:val="auto"/>
    <w:pitch w:val="default"/>
    <w:sig w:usb0="A00002BF" w:usb1="38CF7CFA" w:usb2="00082016" w:usb3="00000000" w:csb0="00040001" w:csb1="00000000"/>
  </w:font>
  <w:font w:name="KSOFE44F9426">
    <w:panose1 w:val="02010609060101010101"/>
    <w:charset w:val="86"/>
    <w:family w:val="auto"/>
    <w:pitch w:val="default"/>
    <w:sig w:usb0="00000001" w:usb1="00000000" w:usb2="00000000" w:usb3="00000000" w:csb0="00040001" w:csb1="00000000"/>
  </w:font>
  <w:font w:name="KSOFF9CC6125">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5D17"/>
    <w:rsid w:val="0002018A"/>
    <w:rsid w:val="000606CE"/>
    <w:rsid w:val="00076304"/>
    <w:rsid w:val="000D755E"/>
    <w:rsid w:val="001713DF"/>
    <w:rsid w:val="00174DEE"/>
    <w:rsid w:val="001A3C1D"/>
    <w:rsid w:val="001A489F"/>
    <w:rsid w:val="001D6FA7"/>
    <w:rsid w:val="00226BCD"/>
    <w:rsid w:val="0024101F"/>
    <w:rsid w:val="00260A75"/>
    <w:rsid w:val="00262031"/>
    <w:rsid w:val="002F10D6"/>
    <w:rsid w:val="0035708F"/>
    <w:rsid w:val="00365D17"/>
    <w:rsid w:val="00375B28"/>
    <w:rsid w:val="00375B91"/>
    <w:rsid w:val="003B0831"/>
    <w:rsid w:val="003C6627"/>
    <w:rsid w:val="003C7C16"/>
    <w:rsid w:val="00453067"/>
    <w:rsid w:val="00457F47"/>
    <w:rsid w:val="0046486A"/>
    <w:rsid w:val="00475968"/>
    <w:rsid w:val="00476726"/>
    <w:rsid w:val="00477350"/>
    <w:rsid w:val="004773E3"/>
    <w:rsid w:val="00522773"/>
    <w:rsid w:val="00555A28"/>
    <w:rsid w:val="00584FD8"/>
    <w:rsid w:val="0069028D"/>
    <w:rsid w:val="006F49B0"/>
    <w:rsid w:val="007A2670"/>
    <w:rsid w:val="00856A34"/>
    <w:rsid w:val="00867694"/>
    <w:rsid w:val="008E09A3"/>
    <w:rsid w:val="008E49CB"/>
    <w:rsid w:val="00912439"/>
    <w:rsid w:val="009B25A7"/>
    <w:rsid w:val="009D1E43"/>
    <w:rsid w:val="00B17275"/>
    <w:rsid w:val="00B1775B"/>
    <w:rsid w:val="00B96F1A"/>
    <w:rsid w:val="00BA2244"/>
    <w:rsid w:val="00BC138E"/>
    <w:rsid w:val="00CB4CE3"/>
    <w:rsid w:val="00CD6224"/>
    <w:rsid w:val="00D07A08"/>
    <w:rsid w:val="00D26CDC"/>
    <w:rsid w:val="00D37443"/>
    <w:rsid w:val="00DB0505"/>
    <w:rsid w:val="00E37522"/>
    <w:rsid w:val="00E85FED"/>
    <w:rsid w:val="00FA2E9F"/>
    <w:rsid w:val="439C0824"/>
    <w:rsid w:val="4A7D6833"/>
    <w:rsid w:val="66DF3C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2F5597" w:themeColor="accent1" w:themeShade="BF"/>
      <w:sz w:val="24"/>
      <w:szCs w:val="24"/>
    </w:rPr>
  </w:style>
  <w:style w:type="paragraph" w:styleId="7">
    <w:name w:val="heading 6"/>
    <w:basedOn w:val="1"/>
    <w:next w:val="1"/>
    <w:link w:val="22"/>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3"/>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6"/>
    <w:unhideWhenUsed/>
    <w:qFormat/>
    <w:uiPriority w:val="99"/>
    <w:pPr>
      <w:tabs>
        <w:tab w:val="center" w:pos="4153"/>
        <w:tab w:val="right" w:pos="8306"/>
      </w:tabs>
      <w:snapToGrid w:val="0"/>
      <w:jc w:val="left"/>
    </w:pPr>
    <w:rPr>
      <w:sz w:val="18"/>
      <w:szCs w:val="18"/>
    </w:rPr>
  </w:style>
  <w:style w:type="paragraph" w:styleId="12">
    <w:name w:val="header"/>
    <w:basedOn w:val="1"/>
    <w:link w:val="35"/>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7"/>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7">
    <w:name w:val="标题 1 字符"/>
    <w:basedOn w:val="16"/>
    <w:link w:val="2"/>
    <w:qFormat/>
    <w:uiPriority w:val="9"/>
    <w:rPr>
      <w:rFonts w:asciiTheme="majorHAnsi" w:hAnsiTheme="majorHAnsi" w:eastAsiaTheme="majorEastAsia" w:cstheme="majorBidi"/>
      <w:color w:val="2F5597" w:themeColor="accent1" w:themeShade="BF"/>
      <w:sz w:val="48"/>
      <w:szCs w:val="48"/>
    </w:rPr>
  </w:style>
  <w:style w:type="character" w:customStyle="1" w:styleId="18">
    <w:name w:val="标题 2 字符"/>
    <w:basedOn w:val="16"/>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19">
    <w:name w:val="标题 3 字符"/>
    <w:basedOn w:val="16"/>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0">
    <w:name w:val="标题 4 字符"/>
    <w:basedOn w:val="16"/>
    <w:link w:val="5"/>
    <w:semiHidden/>
    <w:uiPriority w:val="9"/>
    <w:rPr>
      <w:rFonts w:cstheme="majorBidi"/>
      <w:color w:val="2F5597" w:themeColor="accent1" w:themeShade="BF"/>
      <w:sz w:val="28"/>
      <w:szCs w:val="28"/>
    </w:rPr>
  </w:style>
  <w:style w:type="character" w:customStyle="1" w:styleId="21">
    <w:name w:val="标题 5 字符"/>
    <w:basedOn w:val="16"/>
    <w:link w:val="6"/>
    <w:semiHidden/>
    <w:qFormat/>
    <w:uiPriority w:val="9"/>
    <w:rPr>
      <w:rFonts w:cstheme="majorBidi"/>
      <w:color w:val="2F5597" w:themeColor="accent1" w:themeShade="BF"/>
      <w:sz w:val="24"/>
      <w:szCs w:val="24"/>
    </w:rPr>
  </w:style>
  <w:style w:type="character" w:customStyle="1" w:styleId="22">
    <w:name w:val="标题 6 字符"/>
    <w:basedOn w:val="16"/>
    <w:link w:val="7"/>
    <w:semiHidden/>
    <w:qFormat/>
    <w:uiPriority w:val="9"/>
    <w:rPr>
      <w:rFonts w:cstheme="majorBidi"/>
      <w:b/>
      <w:bCs/>
      <w:color w:val="2F5597" w:themeColor="accent1" w:themeShade="BF"/>
    </w:rPr>
  </w:style>
  <w:style w:type="character" w:customStyle="1" w:styleId="23">
    <w:name w:val="标题 7 字符"/>
    <w:basedOn w:val="16"/>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明显强调1"/>
    <w:basedOn w:val="16"/>
    <w:qFormat/>
    <w:uiPriority w:val="21"/>
    <w:rPr>
      <w:i/>
      <w:iCs/>
      <w:color w:val="2F5597" w:themeColor="accent1" w:themeShade="BF"/>
    </w:rPr>
  </w:style>
  <w:style w:type="paragraph" w:styleId="32">
    <w:name w:val="Intense Quote"/>
    <w:basedOn w:val="1"/>
    <w:next w:val="1"/>
    <w:link w:val="33"/>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3">
    <w:name w:val="明显引用 字符"/>
    <w:basedOn w:val="16"/>
    <w:link w:val="32"/>
    <w:qFormat/>
    <w:uiPriority w:val="30"/>
    <w:rPr>
      <w:i/>
      <w:iCs/>
      <w:color w:val="2F5597" w:themeColor="accent1" w:themeShade="BF"/>
    </w:rPr>
  </w:style>
  <w:style w:type="character" w:customStyle="1" w:styleId="34">
    <w:name w:val="明显参考1"/>
    <w:basedOn w:val="16"/>
    <w:qFormat/>
    <w:uiPriority w:val="32"/>
    <w:rPr>
      <w:b/>
      <w:bCs/>
      <w:smallCaps/>
      <w:color w:val="2F5597" w:themeColor="accent1" w:themeShade="BF"/>
      <w:spacing w:val="5"/>
    </w:rPr>
  </w:style>
  <w:style w:type="character" w:customStyle="1" w:styleId="35">
    <w:name w:val="页眉 字符"/>
    <w:basedOn w:val="16"/>
    <w:link w:val="12"/>
    <w:qFormat/>
    <w:uiPriority w:val="99"/>
    <w:rPr>
      <w:sz w:val="18"/>
      <w:szCs w:val="18"/>
    </w:rPr>
  </w:style>
  <w:style w:type="character" w:customStyle="1" w:styleId="36">
    <w:name w:val="页脚 字符"/>
    <w:basedOn w:val="16"/>
    <w:link w:val="11"/>
    <w:qFormat/>
    <w:uiPriority w:val="99"/>
    <w:rPr>
      <w:sz w:val="18"/>
      <w:szCs w:val="18"/>
    </w:rPr>
  </w:style>
  <w:style w:type="paragraph" w:customStyle="1" w:styleId="37">
    <w:name w:val="Table Text"/>
    <w:basedOn w:val="1"/>
    <w:semiHidden/>
    <w:qFormat/>
    <w:uiPriority w:val="0"/>
    <w:rPr>
      <w:rFonts w:ascii="宋体" w:hAnsi="宋体" w:eastAsia="宋体" w:cs="宋体"/>
      <w:sz w:val="21"/>
      <w:szCs w:val="21"/>
      <w:lang w:val="en-US" w:eastAsia="en-US" w:bidi="ar-SA"/>
    </w:rPr>
  </w:style>
  <w:style w:type="table" w:customStyle="1" w:styleId="3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2765</Words>
  <Characters>2812</Characters>
  <Lines>42</Lines>
  <Paragraphs>36</Paragraphs>
  <TotalTime>0</TotalTime>
  <ScaleCrop>false</ScaleCrop>
  <LinksUpToDate>false</LinksUpToDate>
  <CharactersWithSpaces>2832</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2025-11-09T17:38:00Z</dcterms:created>
  <dc:creator>LRF</dc:creator>
  <cp:lastModifiedBy>guet.lee</cp:lastModifiedBy>
  <dcterms:modified xsi:type="dcterms:W3CDTF">2026-05-01T03:19:16Z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BF0C19ADE6FBAF0C7D4C5E69B139B7AC_42</vt:lpwstr>
  </property>
  <property fmtid="{D5CDD505-2E9C-101B-9397-08002B2CF9AE}" pid="4" name="KSOTemplateDocerSaveRecord">
    <vt:lpwstr>eyJoZGlkIjoiNjNiOTA4YjM2MjJhYzA0MTMyNjliYjQ5NjgwZWU4YTgiLCJ1c2VySWQiOiI5NjM4NzI2MTYifQ==</vt:lpwstr>
  </property>
</Properties>
</file>