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E89620">
      <w:pPr>
        <w:snapToGrid w:val="0"/>
        <w:spacing w:line="580" w:lineRule="exact"/>
        <w:jc w:val="center"/>
        <w:rPr>
          <w:rFonts w:hint="eastAsia" w:ascii="仿宋_GB2312" w:eastAsia="仿宋_GB2312"/>
          <w:sz w:val="36"/>
          <w:szCs w:val="36"/>
        </w:rPr>
      </w:pPr>
    </w:p>
    <w:p w14:paraId="4453DC64">
      <w:pPr>
        <w:snapToGrid w:val="0"/>
        <w:spacing w:line="580" w:lineRule="exact"/>
        <w:jc w:val="center"/>
        <w:rPr>
          <w:rFonts w:hint="eastAsia" w:ascii="方正小标宋_GBK" w:eastAsia="方正小标宋_GBK"/>
          <w:sz w:val="44"/>
          <w:szCs w:val="44"/>
        </w:rPr>
      </w:pPr>
      <w:r>
        <w:rPr>
          <w:rFonts w:hint="eastAsia" w:ascii="方正小标宋_GBK" w:eastAsia="方正小标宋_GBK"/>
          <w:sz w:val="44"/>
          <w:szCs w:val="44"/>
        </w:rPr>
        <w:t>信息与通信学院产教融合工作方案</w:t>
      </w:r>
    </w:p>
    <w:p w14:paraId="4A151356">
      <w:pPr>
        <w:snapToGrid w:val="0"/>
        <w:spacing w:line="580" w:lineRule="exact"/>
        <w:rPr>
          <w:rFonts w:hint="eastAsia" w:ascii="仿宋_GB2312" w:hAnsi="仿宋" w:eastAsia="仿宋_GB2312"/>
          <w:b/>
          <w:bCs/>
          <w:sz w:val="44"/>
          <w:szCs w:val="44"/>
        </w:rPr>
      </w:pPr>
    </w:p>
    <w:p w14:paraId="637464DB">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为推动学院创新人才培养改革，持续深化产教融合、科教融汇，整合教学资源、科研力量和产业需求，全面提升学院人才培养质量，根据《国务院办公厅关于深化产教融合的若干意见》（国办发〔2017〕95号）、《关于进一步深化产教融合、科教融汇助推人才培养模式改革的通知》等文件精神，结合《信息与通信学院创新人才培养模式改革试点实施方案》，特制订本办法。</w:t>
      </w:r>
    </w:p>
    <w:p w14:paraId="034E1608">
      <w:pPr>
        <w:adjustRightInd w:val="0"/>
        <w:snapToGrid w:val="0"/>
        <w:spacing w:line="58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一、指导思想</w:t>
      </w:r>
    </w:p>
    <w:p w14:paraId="65AFD6AB">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以习近平新时代中国特色社会主义思想为指导，</w:t>
      </w:r>
      <w:r>
        <w:rPr>
          <w:rFonts w:hint="eastAsia" w:ascii="仿宋_GB2312" w:hAnsi="仿宋" w:eastAsia="仿宋_GB2312" w:cs="仿宋_GB2312"/>
          <w:color w:val="000000"/>
          <w:sz w:val="32"/>
          <w:szCs w:val="32"/>
        </w:rPr>
        <w:t>坚持党的教育方针</w:t>
      </w:r>
      <w:r>
        <w:rPr>
          <w:rFonts w:hint="eastAsia" w:ascii="仿宋_GB2312" w:hAnsi="仿宋" w:eastAsia="仿宋_GB2312" w:cs="仿宋_GB2312"/>
          <w:sz w:val="32"/>
          <w:szCs w:val="32"/>
        </w:rPr>
        <w:t>，贯彻落实全国教育大会精神，落实立德树人根本任务，深化教育教学改革，完善协同育人机制，实现校企紧密合作、产教深度融合，完善产业需求导向的人才培养模式，促进人才培养供产业发展需求侧结构要素全方位融合。</w:t>
      </w:r>
    </w:p>
    <w:p w14:paraId="25CB4CF2">
      <w:pPr>
        <w:adjustRightInd w:val="0"/>
        <w:snapToGrid w:val="0"/>
        <w:spacing w:line="58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二、主要目标</w:t>
      </w:r>
    </w:p>
    <w:p w14:paraId="03539CD6">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以高水平特色应用型专业建设为重点，通过深化产教融合，构建教育与产业深度互动的合作机制，深化合作办学、合作育人、合作就业、合作发展等“四个合作”，推进专业建设、课程建设、教材建设、师资队伍建设、实习实训建设等“五个建设”，提升创新人才培养的针对性与适应性，</w:t>
      </w:r>
      <w:r>
        <w:rPr>
          <w:rFonts w:hint="eastAsia" w:ascii="仿宋_GB2312" w:hAnsi="仿宋" w:eastAsia="仿宋_GB2312" w:cs="仿宋_GB2312"/>
          <w:sz w:val="32"/>
          <w:szCs w:val="32"/>
          <w:highlight w:val="yellow"/>
          <w:lang w:val="en-US" w:eastAsia="zh-CN"/>
        </w:rPr>
        <w:t>培养</w:t>
      </w:r>
      <w:r>
        <w:rPr>
          <w:rFonts w:hint="eastAsia" w:ascii="仿宋_GB2312" w:hAnsi="仿宋" w:eastAsia="仿宋_GB2312" w:cs="仿宋_GB2312"/>
          <w:sz w:val="32"/>
          <w:szCs w:val="32"/>
          <w:highlight w:val="yellow"/>
        </w:rPr>
        <w:t>能够胜任</w:t>
      </w:r>
      <w:r>
        <w:rPr>
          <w:rFonts w:hint="eastAsia" w:ascii="仿宋_GB2312" w:hAnsi="仿宋" w:eastAsia="仿宋_GB2312" w:cs="仿宋_GB2312"/>
          <w:sz w:val="32"/>
          <w:szCs w:val="32"/>
          <w:highlight w:val="yellow"/>
          <w:lang w:val="en-US" w:eastAsia="zh-CN"/>
        </w:rPr>
        <w:t>电子信息与</w:t>
      </w:r>
      <w:r>
        <w:rPr>
          <w:rFonts w:hint="eastAsia" w:ascii="仿宋_GB2312" w:hAnsi="仿宋" w:eastAsia="仿宋_GB2312" w:cs="仿宋_GB2312"/>
          <w:sz w:val="32"/>
          <w:szCs w:val="32"/>
          <w:highlight w:val="yellow"/>
        </w:rPr>
        <w:t>通信系统、计算机应用等相关领域的企事业单位的技术开发、产品设计、技术支持、工程项目实施与管理等工作的德智体美劳全面发展的高素质应用型人才。</w:t>
      </w:r>
    </w:p>
    <w:p w14:paraId="39B464B5">
      <w:pPr>
        <w:adjustRightInd w:val="0"/>
        <w:snapToGrid w:val="0"/>
        <w:spacing w:line="580" w:lineRule="exact"/>
        <w:ind w:firstLine="640" w:firstLineChars="200"/>
        <w:rPr>
          <w:rFonts w:hint="eastAsia" w:ascii="黑体" w:hAnsi="黑体" w:eastAsia="黑体" w:cs="仿宋_GB2312"/>
          <w:sz w:val="32"/>
          <w:szCs w:val="32"/>
        </w:rPr>
      </w:pPr>
      <w:r>
        <w:rPr>
          <w:rFonts w:hint="eastAsia" w:ascii="黑体" w:hAnsi="黑体" w:eastAsia="黑体" w:cs="仿宋_GB2312"/>
          <w:sz w:val="32"/>
          <w:szCs w:val="32"/>
        </w:rPr>
        <w:t>三、具体任务</w:t>
      </w:r>
    </w:p>
    <w:p w14:paraId="5888389D">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（一）学生任务</w:t>
      </w:r>
    </w:p>
    <w:p w14:paraId="014BE18D">
      <w:pPr>
        <w:adjustRightInd w:val="0"/>
        <w:snapToGrid w:val="0"/>
        <w:spacing w:line="580" w:lineRule="exact"/>
        <w:ind w:firstLine="640" w:firstLineChars="200"/>
        <w:rPr>
          <w:rFonts w:hint="eastAsia" w:ascii="仿宋_GB2312" w:hAnsi="仿宋" w:eastAsia="仿宋_GB2312" w:cs="仿宋_GB2312"/>
          <w:sz w:val="32"/>
          <w:szCs w:val="32"/>
          <w:lang w:val="en-US" w:eastAsia="zh-CN"/>
        </w:rPr>
      </w:pPr>
      <w:r>
        <w:rPr>
          <w:rFonts w:hint="eastAsia" w:ascii="仿宋_GB2312" w:hAnsi="仿宋" w:eastAsia="仿宋_GB2312" w:cs="仿宋_GB2312"/>
          <w:sz w:val="32"/>
          <w:szCs w:val="32"/>
        </w:rPr>
        <w:t>学生须在产教融合实践基地完成不少于半年的实习，按照企业培养方案履行岗位职责</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lang w:val="en-US" w:eastAsia="zh-CN"/>
        </w:rPr>
        <w:t>达到</w:t>
      </w:r>
      <w:r>
        <w:rPr>
          <w:rFonts w:hint="eastAsia" w:ascii="仿宋_GB2312" w:hAnsi="仿宋" w:eastAsia="仿宋_GB2312" w:cs="仿宋_GB2312"/>
          <w:sz w:val="32"/>
          <w:szCs w:val="32"/>
        </w:rPr>
        <w:t>产教融合</w:t>
      </w:r>
      <w:r>
        <w:rPr>
          <w:rFonts w:hint="eastAsia" w:ascii="仿宋_GB2312" w:hAnsi="仿宋" w:eastAsia="仿宋_GB2312" w:cs="仿宋_GB2312"/>
          <w:sz w:val="32"/>
          <w:szCs w:val="32"/>
          <w:lang w:val="en-US" w:eastAsia="zh-CN"/>
        </w:rPr>
        <w:t>项目的课程目标：</w:t>
      </w:r>
    </w:p>
    <w:tbl>
      <w:tblPr>
        <w:tblStyle w:val="38"/>
        <w:tblW w:w="7656" w:type="dxa"/>
        <w:tblInd w:w="3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98"/>
        <w:gridCol w:w="3129"/>
        <w:gridCol w:w="3129"/>
      </w:tblGrid>
      <w:tr w14:paraId="6DF833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398" w:type="dxa"/>
            <w:vAlign w:val="top"/>
          </w:tcPr>
          <w:p w14:paraId="3F4F756C">
            <w:pPr>
              <w:pStyle w:val="37"/>
              <w:spacing w:before="178" w:line="220" w:lineRule="auto"/>
              <w:ind w:left="280"/>
            </w:pPr>
            <w:r>
              <w:rPr>
                <w:b/>
                <w:bCs/>
                <w:spacing w:val="-3"/>
              </w:rPr>
              <w:t>课程目标</w:t>
            </w:r>
          </w:p>
        </w:tc>
        <w:tc>
          <w:tcPr>
            <w:tcW w:w="3129" w:type="dxa"/>
            <w:vAlign w:val="top"/>
          </w:tcPr>
          <w:p w14:paraId="74121C3F">
            <w:pPr>
              <w:pStyle w:val="37"/>
              <w:spacing w:before="177" w:line="220" w:lineRule="auto"/>
              <w:jc w:val="center"/>
            </w:pPr>
            <w:r>
              <w:rPr>
                <w:b/>
                <w:bCs/>
                <w:spacing w:val="-4"/>
              </w:rPr>
              <w:t>具体内容</w:t>
            </w:r>
          </w:p>
        </w:tc>
        <w:tc>
          <w:tcPr>
            <w:tcW w:w="3129" w:type="dxa"/>
            <w:vAlign w:val="center"/>
          </w:tcPr>
          <w:p w14:paraId="4DA7652E">
            <w:pPr>
              <w:spacing w:line="276" w:lineRule="auto"/>
              <w:jc w:val="center"/>
              <w:rPr>
                <w:b/>
                <w:bCs/>
                <w:spacing w:val="-4"/>
              </w:rPr>
            </w:pPr>
            <w:r>
              <w:rPr>
                <w:rFonts w:eastAsia="等线"/>
                <w:b/>
                <w:szCs w:val="21"/>
              </w:rPr>
              <w:t>毕业要求指标点</w:t>
            </w:r>
          </w:p>
        </w:tc>
      </w:tr>
      <w:tr w14:paraId="32B0C4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0" w:hRule="atLeast"/>
        </w:trPr>
        <w:tc>
          <w:tcPr>
            <w:tcW w:w="1398" w:type="dxa"/>
            <w:vAlign w:val="center"/>
          </w:tcPr>
          <w:p w14:paraId="5B6EB530">
            <w:pPr>
              <w:keepNext w:val="0"/>
              <w:keepLines w:val="0"/>
              <w:widowControl/>
              <w:suppressLineNumbers w:val="0"/>
              <w:jc w:val="center"/>
              <w:textAlignment w:val="center"/>
            </w:pPr>
            <w:r>
              <w:rPr>
                <w:rFonts w:hint="eastAsia" w:ascii="宋体" w:hAnsi="宋体" w:eastAsia="宋体" w:cs="宋体"/>
                <w:i w:val="0"/>
                <w:iCs w:val="0"/>
                <w:color w:val="000000"/>
                <w:kern w:val="0"/>
                <w:sz w:val="21"/>
                <w:szCs w:val="21"/>
                <w:u w:val="none"/>
                <w:lang w:val="en-US" w:eastAsia="zh-CN" w:bidi="ar"/>
              </w:rPr>
              <w:t>目标1</w:t>
            </w:r>
          </w:p>
        </w:tc>
        <w:tc>
          <w:tcPr>
            <w:tcW w:w="3129" w:type="dxa"/>
            <w:vAlign w:val="center"/>
          </w:tcPr>
          <w:p w14:paraId="233713BA">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培养查阅资料文献的能力，能够认识到解决专业工程设计问题有多种方案可选择，能够通过文献研究寻求可替代的解决方案。 </w:t>
            </w:r>
          </w:p>
        </w:tc>
        <w:tc>
          <w:tcPr>
            <w:tcW w:w="3129" w:type="dxa"/>
            <w:vAlign w:val="center"/>
          </w:tcPr>
          <w:p w14:paraId="2D633CAE">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2-3 能认识到解决问题有多种方案可选择，会通过文献研究寻求可替代的解决方案</w:t>
            </w:r>
          </w:p>
        </w:tc>
      </w:tr>
      <w:tr w14:paraId="3E3575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 w:hRule="atLeast"/>
        </w:trPr>
        <w:tc>
          <w:tcPr>
            <w:tcW w:w="1398" w:type="dxa"/>
            <w:vAlign w:val="center"/>
          </w:tcPr>
          <w:p w14:paraId="6B34CAE2">
            <w:pPr>
              <w:keepNext w:val="0"/>
              <w:keepLines w:val="0"/>
              <w:widowControl/>
              <w:suppressLineNumbers w:val="0"/>
              <w:jc w:val="center"/>
              <w:textAlignment w:val="center"/>
            </w:pPr>
            <w:r>
              <w:rPr>
                <w:rFonts w:hint="eastAsia" w:ascii="宋体" w:hAnsi="宋体" w:eastAsia="宋体" w:cs="宋体"/>
                <w:i w:val="0"/>
                <w:iCs w:val="0"/>
                <w:color w:val="000000"/>
                <w:kern w:val="0"/>
                <w:sz w:val="21"/>
                <w:szCs w:val="21"/>
                <w:u w:val="none"/>
                <w:lang w:val="en-US" w:eastAsia="zh-CN" w:bidi="ar"/>
              </w:rPr>
              <w:t>目标2</w:t>
            </w:r>
          </w:p>
        </w:tc>
        <w:tc>
          <w:tcPr>
            <w:tcW w:w="3129" w:type="dxa"/>
            <w:vAlign w:val="center"/>
          </w:tcPr>
          <w:p w14:paraId="3005B59F">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能够综合运用电路分析基础、信号与系统分析、模拟电子电路、数字逻辑、单片机原理及应用等基本原理和知识对通信工程相关专业问题进行综合归纳、关联分析、识别与判断，分析影响专业工程设计过程的各种因素，并获得有效结论。</w:t>
            </w:r>
          </w:p>
        </w:tc>
        <w:tc>
          <w:tcPr>
            <w:tcW w:w="3129" w:type="dxa"/>
            <w:vAlign w:val="center"/>
          </w:tcPr>
          <w:p w14:paraId="168D2EE0">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 能运用基本原理，借助文献研究，分析过程的影响因素，获得有效结论。</w:t>
            </w:r>
          </w:p>
        </w:tc>
      </w:tr>
      <w:tr w14:paraId="3C6F72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1" w:hRule="atLeast"/>
        </w:trPr>
        <w:tc>
          <w:tcPr>
            <w:tcW w:w="1398" w:type="dxa"/>
            <w:vAlign w:val="center"/>
          </w:tcPr>
          <w:p w14:paraId="302C7670">
            <w:pPr>
              <w:keepNext w:val="0"/>
              <w:keepLines w:val="0"/>
              <w:widowControl/>
              <w:suppressLineNumbers w:val="0"/>
              <w:jc w:val="center"/>
              <w:textAlignment w:val="center"/>
            </w:pPr>
            <w:r>
              <w:rPr>
                <w:rFonts w:hint="eastAsia" w:ascii="宋体" w:hAnsi="宋体" w:eastAsia="宋体" w:cs="宋体"/>
                <w:i w:val="0"/>
                <w:iCs w:val="0"/>
                <w:color w:val="000000"/>
                <w:kern w:val="0"/>
                <w:sz w:val="21"/>
                <w:szCs w:val="21"/>
                <w:u w:val="none"/>
                <w:lang w:val="en-US" w:eastAsia="zh-CN" w:bidi="ar"/>
              </w:rPr>
              <w:t>目标3</w:t>
            </w:r>
          </w:p>
        </w:tc>
        <w:tc>
          <w:tcPr>
            <w:tcW w:w="3129" w:type="dxa"/>
            <w:vAlign w:val="center"/>
          </w:tcPr>
          <w:p w14:paraId="64F82774">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通过电子电路或者电子产品设计、制作和系统组装调试等环节，掌握工程设计和产品开发全周期、全流程的基本设计/开发方法和技术，明确影响设计目标和技术方案的各种因素，在设计中体现创新意识。</w:t>
            </w:r>
          </w:p>
        </w:tc>
        <w:tc>
          <w:tcPr>
            <w:tcW w:w="3129" w:type="dxa"/>
            <w:vAlign w:val="center"/>
          </w:tcPr>
          <w:p w14:paraId="3C58F528">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3-1 </w:t>
            </w:r>
            <w:r>
              <w:rPr>
                <w:rFonts w:hint="eastAsia" w:ascii="宋体" w:hAnsi="宋体" w:eastAsia="宋体" w:cs="宋体"/>
                <w:i w:val="0"/>
                <w:iCs w:val="0"/>
                <w:color w:val="000000"/>
                <w:kern w:val="0"/>
                <w:sz w:val="21"/>
                <w:szCs w:val="21"/>
                <w:u w:val="none"/>
                <w:lang w:val="en-US" w:eastAsia="zh-CN" w:bidi="ar"/>
              </w:rPr>
              <w:t xml:space="preserve"> 掌握电子信息类领域工程设计和产品开发全周期、全流程的基本设计/开发方法和技术，了解影响设计目标和技术方案的各种因素。</w:t>
            </w:r>
          </w:p>
        </w:tc>
      </w:tr>
      <w:tr w14:paraId="096830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7FBDF7E9">
            <w:pPr>
              <w:keepNext w:val="0"/>
              <w:keepLines w:val="0"/>
              <w:widowControl/>
              <w:suppressLineNumbers w:val="0"/>
              <w:jc w:val="center"/>
              <w:textAlignment w:val="center"/>
            </w:pPr>
            <w:r>
              <w:rPr>
                <w:rFonts w:hint="eastAsia" w:ascii="宋体" w:hAnsi="宋体" w:eastAsia="宋体" w:cs="宋体"/>
                <w:i w:val="0"/>
                <w:iCs w:val="0"/>
                <w:color w:val="000000"/>
                <w:kern w:val="0"/>
                <w:sz w:val="21"/>
                <w:szCs w:val="21"/>
                <w:u w:val="none"/>
                <w:lang w:val="en-US" w:eastAsia="zh-CN" w:bidi="ar"/>
              </w:rPr>
              <w:t>目标4</w:t>
            </w:r>
          </w:p>
        </w:tc>
        <w:tc>
          <w:tcPr>
            <w:tcW w:w="3129" w:type="dxa"/>
            <w:vAlign w:val="center"/>
          </w:tcPr>
          <w:p w14:paraId="560816B0">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在通信系统的方案设计、问题解决、测试方法制定等工程设计过程中培养创新意识。</w:t>
            </w:r>
          </w:p>
        </w:tc>
        <w:tc>
          <w:tcPr>
            <w:tcW w:w="3129" w:type="dxa"/>
            <w:vAlign w:val="center"/>
          </w:tcPr>
          <w:p w14:paraId="68A536B4">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3-3 能够进行通信系统设计，在设计中体现创新意识。</w:t>
            </w:r>
          </w:p>
        </w:tc>
      </w:tr>
      <w:tr w14:paraId="37D548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544B2A34">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目标5</w:t>
            </w:r>
          </w:p>
        </w:tc>
        <w:tc>
          <w:tcPr>
            <w:tcW w:w="3129" w:type="dxa"/>
            <w:vAlign w:val="center"/>
          </w:tcPr>
          <w:p w14:paraId="7FE7D281">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针对产品设计，能够考虑安全、健康、法律、文化及环境等制约因素，并理解应承担的责任。</w:t>
            </w:r>
          </w:p>
        </w:tc>
        <w:tc>
          <w:tcPr>
            <w:tcW w:w="3129" w:type="dxa"/>
            <w:vAlign w:val="center"/>
          </w:tcPr>
          <w:p w14:paraId="484B5320">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3-4</w:t>
            </w:r>
            <w:r>
              <w:rPr>
                <w:rFonts w:hint="eastAsia" w:ascii="宋体" w:hAnsi="宋体" w:eastAsia="宋体" w:cs="宋体"/>
                <w:i w:val="0"/>
                <w:iCs w:val="0"/>
                <w:color w:val="000000"/>
                <w:kern w:val="0"/>
                <w:sz w:val="21"/>
                <w:szCs w:val="21"/>
                <w:u w:val="none"/>
                <w:lang w:val="en-US" w:eastAsia="zh-CN" w:bidi="ar"/>
              </w:rPr>
              <w:t xml:space="preserve">  在设计中能够考虑安全、健康、法律、文化及环境等制约因素。</w:t>
            </w:r>
          </w:p>
        </w:tc>
      </w:tr>
      <w:tr w14:paraId="3A951F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7EBE3588">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目标6</w:t>
            </w:r>
          </w:p>
        </w:tc>
        <w:tc>
          <w:tcPr>
            <w:tcW w:w="3129" w:type="dxa"/>
            <w:vAlign w:val="center"/>
          </w:tcPr>
          <w:p w14:paraId="67D9E7CE">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培养通信系统方案设计的能力、电路参数计算与电路系统设计的能力、测试与分析的能力，能够基于科学原理并采用科学的方法对通信领域复杂工程问题进行研究。</w:t>
            </w:r>
          </w:p>
        </w:tc>
        <w:tc>
          <w:tcPr>
            <w:tcW w:w="3129" w:type="dxa"/>
            <w:vAlign w:val="center"/>
          </w:tcPr>
          <w:p w14:paraId="5F251F19">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4-1 能够基于科学原理，通过文献研究，调研和分析解决通信领域复杂工程问题的方案。</w:t>
            </w:r>
          </w:p>
        </w:tc>
      </w:tr>
      <w:tr w14:paraId="49D88A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087D89F4">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目标7</w:t>
            </w:r>
          </w:p>
        </w:tc>
        <w:tc>
          <w:tcPr>
            <w:tcW w:w="3129" w:type="dxa"/>
            <w:vAlign w:val="center"/>
          </w:tcPr>
          <w:p w14:paraId="737EA5B3">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针对专业工程项目，开发或选用满足设计需求的现代工具，模拟和预测专业问题，并能够分析其局限性</w:t>
            </w:r>
          </w:p>
        </w:tc>
        <w:tc>
          <w:tcPr>
            <w:tcW w:w="3129" w:type="dxa"/>
            <w:vAlign w:val="center"/>
          </w:tcPr>
          <w:p w14:paraId="735E765A">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5-3能够针对具体的对象，开发或选用满足特定需求的现代工具，模拟和预测专业问题，并能够分析其局限性。</w:t>
            </w:r>
          </w:p>
        </w:tc>
      </w:tr>
      <w:tr w14:paraId="215EA0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6561B200">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目标8</w:t>
            </w:r>
          </w:p>
        </w:tc>
        <w:tc>
          <w:tcPr>
            <w:tcW w:w="3129" w:type="dxa"/>
            <w:vAlign w:val="center"/>
          </w:tcPr>
          <w:p w14:paraId="68A49BF9">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生产实习过程中，能够分析和评价通信工程领域的工程实践对社会、健康、安全、法律、文化的影响，以及这些制约因素对项目实施的影响，并理解应承担的责任。</w:t>
            </w:r>
          </w:p>
        </w:tc>
        <w:tc>
          <w:tcPr>
            <w:tcW w:w="3129" w:type="dxa"/>
            <w:vAlign w:val="center"/>
          </w:tcPr>
          <w:p w14:paraId="4E3E47E4">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6-2 能分析和评价通信工程实践对社会、健康、安全、法律、文化的影响， 以及这些制约因素对项目实施的影响，并理解应承担的责任。</w:t>
            </w:r>
          </w:p>
        </w:tc>
      </w:tr>
      <w:tr w14:paraId="23FB23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130B9F36">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目标9</w:t>
            </w:r>
          </w:p>
        </w:tc>
        <w:tc>
          <w:tcPr>
            <w:tcW w:w="3129" w:type="dxa"/>
            <w:vAlign w:val="center"/>
          </w:tcPr>
          <w:p w14:paraId="1935556B">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知晓和理解环境保护和可持续发展的理念和内涵。</w:t>
            </w:r>
          </w:p>
        </w:tc>
        <w:tc>
          <w:tcPr>
            <w:tcW w:w="3129" w:type="dxa"/>
            <w:vAlign w:val="center"/>
          </w:tcPr>
          <w:p w14:paraId="1D627D51">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7-1 知晓和理解环境保护和可持续发展的理念和内涵。</w:t>
            </w:r>
          </w:p>
        </w:tc>
      </w:tr>
      <w:tr w14:paraId="077C0B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5F3C5E25">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目标10</w:t>
            </w:r>
          </w:p>
        </w:tc>
        <w:tc>
          <w:tcPr>
            <w:tcW w:w="3129" w:type="dxa"/>
            <w:vAlign w:val="center"/>
          </w:tcPr>
          <w:p w14:paraId="2891199B">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能够站在环境保护和可持续发展的角度思考通信工程实践的可持续性，评价产品周期中可能对人类和环境造成的损害和隐患。</w:t>
            </w:r>
          </w:p>
        </w:tc>
        <w:tc>
          <w:tcPr>
            <w:tcW w:w="3129" w:type="dxa"/>
            <w:vAlign w:val="center"/>
          </w:tcPr>
          <w:p w14:paraId="1F27C877">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7-2 能够站在环境保护和可持续发展的角度思考通信工程实践的可持续性，评价产品周期中可能对人类和环境造成的损害和隐患。</w:t>
            </w:r>
          </w:p>
        </w:tc>
      </w:tr>
      <w:tr w14:paraId="6D4E9C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2C3F6C9C">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目标11</w:t>
            </w:r>
          </w:p>
        </w:tc>
        <w:tc>
          <w:tcPr>
            <w:tcW w:w="3129" w:type="dxa"/>
            <w:vAlign w:val="top"/>
          </w:tcPr>
          <w:p w14:paraId="60576B29">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能够理解诚实公正、诚信守则的工程职业道德和规范，并能在生产实习过程中自觉遵守。</w:t>
            </w:r>
          </w:p>
        </w:tc>
        <w:tc>
          <w:tcPr>
            <w:tcW w:w="3129" w:type="dxa"/>
            <w:vAlign w:val="top"/>
          </w:tcPr>
          <w:p w14:paraId="29CA7E0B">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8-2 理解诚实公正、诚信守则的工程职业道德和规范，并能在通信工程实践中自觉遵守。</w:t>
            </w:r>
          </w:p>
        </w:tc>
      </w:tr>
      <w:tr w14:paraId="181BDC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5ED82B8A">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目标12</w:t>
            </w:r>
          </w:p>
        </w:tc>
        <w:tc>
          <w:tcPr>
            <w:tcW w:w="3129" w:type="dxa"/>
            <w:vAlign w:val="center"/>
          </w:tcPr>
          <w:p w14:paraId="780E60DB">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在电子电路或者电子产品设计、制作和系统组装调试等环节，理解工程师对公众的安全、健康和福祉，以及环境保护的社会责任，能够在工程实践中自觉履行责任。</w:t>
            </w:r>
          </w:p>
        </w:tc>
        <w:tc>
          <w:tcPr>
            <w:tcW w:w="3129" w:type="dxa"/>
            <w:vAlign w:val="center"/>
          </w:tcPr>
          <w:p w14:paraId="3E0C5BBF">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8-3</w:t>
            </w:r>
            <w:r>
              <w:rPr>
                <w:rFonts w:hint="eastAsia" w:ascii="宋体" w:hAnsi="宋体" w:eastAsia="宋体" w:cs="宋体"/>
                <w:i w:val="0"/>
                <w:iCs w:val="0"/>
                <w:color w:val="000000"/>
                <w:kern w:val="0"/>
                <w:sz w:val="21"/>
                <w:szCs w:val="21"/>
                <w:u w:val="none"/>
                <w:lang w:val="en-US" w:eastAsia="zh-CN" w:bidi="ar"/>
              </w:rPr>
              <w:t xml:space="preserve">  理解工程师对公众的安全、健康和福祉，以及环境保护的社会责任，能够在工程实践中自觉履行责任。</w:t>
            </w:r>
          </w:p>
        </w:tc>
      </w:tr>
      <w:tr w14:paraId="31DF86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003B20EF">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目标13</w:t>
            </w:r>
          </w:p>
        </w:tc>
        <w:tc>
          <w:tcPr>
            <w:tcW w:w="3129" w:type="dxa"/>
            <w:vAlign w:val="center"/>
          </w:tcPr>
          <w:p w14:paraId="663DE700">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实训过程中，需掌握过程中使用到的其他学科的知识，并且在团队中承担自己的责任，善于沟通，积极反馈自己的意见并听取他人的建议，共同完成团队目标。</w:t>
            </w:r>
          </w:p>
        </w:tc>
        <w:tc>
          <w:tcPr>
            <w:tcW w:w="3129" w:type="dxa"/>
            <w:vAlign w:val="center"/>
          </w:tcPr>
          <w:p w14:paraId="649F188F">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default" w:ascii="宋体" w:hAnsi="宋体" w:eastAsia="宋体" w:cs="宋体"/>
                <w:i w:val="0"/>
                <w:iCs w:val="0"/>
                <w:color w:val="000000"/>
                <w:kern w:val="0"/>
                <w:sz w:val="21"/>
                <w:szCs w:val="21"/>
                <w:u w:val="none"/>
                <w:lang w:val="en-US" w:eastAsia="zh-CN" w:bidi="ar"/>
              </w:rPr>
              <w:t xml:space="preserve">9-1 </w:t>
            </w:r>
            <w:r>
              <w:rPr>
                <w:rFonts w:hint="eastAsia" w:ascii="宋体" w:hAnsi="宋体" w:eastAsia="宋体" w:cs="宋体"/>
                <w:i w:val="0"/>
                <w:iCs w:val="0"/>
                <w:color w:val="000000"/>
                <w:kern w:val="0"/>
                <w:sz w:val="21"/>
                <w:szCs w:val="21"/>
                <w:u w:val="none"/>
                <w:lang w:val="en-US" w:eastAsia="zh-CN" w:bidi="ar"/>
              </w:rPr>
              <w:t xml:space="preserve"> 具有跨学科适应能力和团队合作精神，能够在团队中独立或与其他学科的成员有效沟通，合作开展工作。</w:t>
            </w:r>
          </w:p>
        </w:tc>
      </w:tr>
      <w:tr w14:paraId="4FB883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76FF6407">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目标14</w:t>
            </w:r>
          </w:p>
        </w:tc>
        <w:tc>
          <w:tcPr>
            <w:tcW w:w="3129" w:type="dxa"/>
            <w:vAlign w:val="top"/>
          </w:tcPr>
          <w:p w14:paraId="05498DA3">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培养学生组织、协调和指挥团队开展工作的能力，形成良好的沟通机制，及时完成团队目标。</w:t>
            </w:r>
          </w:p>
        </w:tc>
        <w:tc>
          <w:tcPr>
            <w:tcW w:w="3129" w:type="dxa"/>
            <w:vAlign w:val="top"/>
          </w:tcPr>
          <w:p w14:paraId="25C4407C">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9-2 能够组织、协调和指挥团队开展工作，形成良好的沟通机制，及时完成团队目标。</w:t>
            </w:r>
          </w:p>
        </w:tc>
      </w:tr>
      <w:tr w14:paraId="7A0906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40AB9824">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目标15</w:t>
            </w:r>
          </w:p>
        </w:tc>
        <w:tc>
          <w:tcPr>
            <w:tcW w:w="3129" w:type="dxa"/>
            <w:vAlign w:val="center"/>
          </w:tcPr>
          <w:p w14:paraId="07457DA5">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培养撰写报告和设计文稿的能力，综合应用陈述发言、清晰表达或回应指令等方式，培养与业界同行、社会公众进行有效沟通和交流的能力，并能理解其差异性。</w:t>
            </w:r>
          </w:p>
        </w:tc>
        <w:tc>
          <w:tcPr>
            <w:tcW w:w="3129" w:type="dxa"/>
            <w:vAlign w:val="center"/>
          </w:tcPr>
          <w:p w14:paraId="43C28338">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10-1能就通信专业问题，以口头、文稿、图表等方式，准确表达自己的观点，回应质疑，理解与业界同行和社会公众交流的差异性。</w:t>
            </w:r>
          </w:p>
        </w:tc>
      </w:tr>
      <w:tr w14:paraId="3D4DF6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4CEA8AC7">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目标16</w:t>
            </w:r>
          </w:p>
        </w:tc>
        <w:tc>
          <w:tcPr>
            <w:tcW w:w="3129" w:type="dxa"/>
            <w:vAlign w:val="center"/>
          </w:tcPr>
          <w:p w14:paraId="260D76AE">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能够及时了解电子信息专业领域的国际发展趋势、研究热点，理解和尊重世界不同文化的差异性和多样性。</w:t>
            </w:r>
          </w:p>
        </w:tc>
        <w:tc>
          <w:tcPr>
            <w:tcW w:w="3129" w:type="dxa"/>
            <w:vAlign w:val="center"/>
          </w:tcPr>
          <w:p w14:paraId="722B6816">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10-2 了解电子信息专业领域的国际发展趋势、研究热点，理解和尊重世界不同文化的差异性和多样性。</w:t>
            </w:r>
          </w:p>
        </w:tc>
      </w:tr>
      <w:tr w14:paraId="0AA9D2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4861CB74">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目标17</w:t>
            </w:r>
          </w:p>
        </w:tc>
        <w:tc>
          <w:tcPr>
            <w:tcW w:w="3129" w:type="dxa"/>
            <w:vAlign w:val="center"/>
          </w:tcPr>
          <w:p w14:paraId="651CB000">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掌握工程项目中涉及的管理与经济决策方法；了解工程及产品全周期、全流程的成本构成，理解其中涉及的工程管理与经济决策问题</w:t>
            </w:r>
          </w:p>
        </w:tc>
        <w:tc>
          <w:tcPr>
            <w:tcW w:w="3129" w:type="dxa"/>
            <w:vAlign w:val="center"/>
          </w:tcPr>
          <w:p w14:paraId="16CC66F0">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11-1 掌握工程项目中涉及的管理与经济决策方法；了解工程及产品全周期、全流程的成本构成，理解其中涉及的工程管理与经济决策问题</w:t>
            </w:r>
          </w:p>
        </w:tc>
      </w:tr>
      <w:tr w14:paraId="6A3946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65311D10">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目标18</w:t>
            </w:r>
          </w:p>
        </w:tc>
        <w:tc>
          <w:tcPr>
            <w:tcW w:w="3129" w:type="dxa"/>
            <w:vAlign w:val="center"/>
          </w:tcPr>
          <w:p w14:paraId="47D7629F">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生产实习过程中，承担设计开发解决方案任务时，能够正确运用工程管理与经济决策方法。</w:t>
            </w:r>
          </w:p>
        </w:tc>
        <w:tc>
          <w:tcPr>
            <w:tcW w:w="3129" w:type="dxa"/>
            <w:vAlign w:val="center"/>
          </w:tcPr>
          <w:p w14:paraId="77622288">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11-2 能在多学科环境下(包括模拟环境)，在设计开发解决方案的过程中，正确运用工程管理与经济决策方法。</w:t>
            </w:r>
          </w:p>
        </w:tc>
      </w:tr>
      <w:tr w14:paraId="40B48A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398" w:type="dxa"/>
            <w:vAlign w:val="center"/>
          </w:tcPr>
          <w:p w14:paraId="4A011025">
            <w:pPr>
              <w:keepNext w:val="0"/>
              <w:keepLines w:val="0"/>
              <w:widowControl/>
              <w:suppressLineNumbers w:val="0"/>
              <w:jc w:val="center"/>
              <w:textAlignment w:val="center"/>
              <w:rPr>
                <w:spacing w:val="-2"/>
              </w:rPr>
            </w:pPr>
            <w:r>
              <w:rPr>
                <w:rFonts w:hint="eastAsia" w:ascii="宋体" w:hAnsi="宋体" w:eastAsia="宋体" w:cs="宋体"/>
                <w:i w:val="0"/>
                <w:iCs w:val="0"/>
                <w:color w:val="000000"/>
                <w:kern w:val="0"/>
                <w:sz w:val="21"/>
                <w:szCs w:val="21"/>
                <w:u w:val="none"/>
                <w:lang w:val="en-US" w:eastAsia="zh-CN" w:bidi="ar"/>
              </w:rPr>
              <w:t>目标19</w:t>
            </w:r>
          </w:p>
        </w:tc>
        <w:tc>
          <w:tcPr>
            <w:tcW w:w="3129" w:type="dxa"/>
            <w:vAlign w:val="center"/>
          </w:tcPr>
          <w:p w14:paraId="1C09E069">
            <w:pPr>
              <w:keepNext w:val="0"/>
              <w:keepLines w:val="0"/>
              <w:widowControl/>
              <w:suppressLineNumbers w:val="0"/>
              <w:ind w:firstLine="210" w:firstLineChars="10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培养学生自主学习的能力，包括技术理解力、凝练综述能力和提出问题的能力，能够适应行业以及社会的发展变化。</w:t>
            </w:r>
          </w:p>
        </w:tc>
        <w:tc>
          <w:tcPr>
            <w:tcW w:w="3129" w:type="dxa"/>
            <w:vAlign w:val="center"/>
          </w:tcPr>
          <w:p w14:paraId="52C10BA3">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12-2具有自主学习的能力，包括技术理解力，凝练综述能力和提出问题的能力等，能够适应行业及社会的发展变化。</w:t>
            </w:r>
          </w:p>
        </w:tc>
      </w:tr>
    </w:tbl>
    <w:p w14:paraId="1FEE2FD8">
      <w:pPr>
        <w:adjustRightInd w:val="0"/>
        <w:snapToGrid w:val="0"/>
        <w:spacing w:line="580" w:lineRule="exact"/>
        <w:ind w:firstLine="643" w:firstLineChars="200"/>
        <w:rPr>
          <w:rFonts w:hint="eastAsia" w:ascii="楷体_GB2312" w:hAnsi="仿宋" w:eastAsia="楷体_GB2312" w:cs="仿宋_GB2312"/>
          <w:b/>
          <w:bCs/>
          <w:sz w:val="32"/>
          <w:szCs w:val="32"/>
        </w:rPr>
      </w:pPr>
      <w:bookmarkStart w:id="0" w:name="_GoBack"/>
      <w:bookmarkEnd w:id="0"/>
    </w:p>
    <w:p w14:paraId="3CF95821">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（二）校内导师任务</w:t>
      </w:r>
    </w:p>
    <w:p w14:paraId="44B6C33A">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负责学生实习期间的学术指导与思想教育，与企业导师协同制定学生实习计划，定期了解学生实习进展，协助解决实习中遇到的问题，参与学生实习考核与总结评价，每周要召开实习会议。</w:t>
      </w:r>
    </w:p>
    <w:p w14:paraId="326C6EB9">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（三）企业导师任务</w:t>
      </w:r>
    </w:p>
    <w:p w14:paraId="04E08335">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负责学生在企业实习期间的岗位技能训练和职业素养培养，提供实际操作指导和项目实践机会，配合学校导师完成学生实习考评，协助学生做好职业规划。</w:t>
      </w:r>
    </w:p>
    <w:p w14:paraId="34162D1F">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（四）企业任务</w:t>
      </w:r>
    </w:p>
    <w:p w14:paraId="51CDBFD3">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提供符合专业培养目标的实习岗位与实践项目，配备经验丰富的技术或管理人员担任企业导师，保障学生实习期间的工作与学习条件，参与课程共建、师资交流等合作内容。</w:t>
      </w:r>
    </w:p>
    <w:p w14:paraId="5D44D904">
      <w:pPr>
        <w:adjustRightInd w:val="0"/>
        <w:snapToGrid w:val="0"/>
        <w:spacing w:line="580" w:lineRule="exact"/>
        <w:ind w:left="640"/>
        <w:rPr>
          <w:rFonts w:hint="eastAsia" w:ascii="黑体" w:hAnsi="黑体" w:eastAsia="黑体" w:cs="仿宋_GB2312"/>
          <w:sz w:val="32"/>
          <w:szCs w:val="32"/>
        </w:rPr>
      </w:pPr>
      <w:r>
        <w:rPr>
          <w:rFonts w:hint="eastAsia" w:ascii="黑体" w:hAnsi="黑体" w:eastAsia="黑体" w:cs="仿宋_GB2312"/>
          <w:sz w:val="32"/>
          <w:szCs w:val="32"/>
        </w:rPr>
        <w:t>四、具体举措</w:t>
      </w:r>
    </w:p>
    <w:p w14:paraId="354666B7">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（一）创新人才培养模式</w:t>
      </w:r>
    </w:p>
    <w:p w14:paraId="73805869">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紧密对接国家战略和区域经济社会发展需求，面向新一代信息技术、人工智能、汽车产业等重点领域，主动与人社部门、经信局、产业园区、行业协会等对接，参与政府组织的校企合作活动，系统整合企业需求，将学生实习纳入区域经济发展体系。</w:t>
      </w:r>
    </w:p>
    <w:p w14:paraId="75544B46">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以通信工程专业3年级本科生（2023级）为试点改革对象，参加产教融合项目学生约150人。</w:t>
      </w:r>
    </w:p>
    <w:p w14:paraId="7ACE7A22">
      <w:pPr>
        <w:autoSpaceDE w:val="0"/>
        <w:autoSpaceDN w:val="0"/>
        <w:adjustRightInd w:val="0"/>
        <w:ind w:firstLine="640" w:firstLineChars="200"/>
        <w:jc w:val="left"/>
        <w:rPr>
          <w:rFonts w:hint="eastAsia" w:ascii="仿宋_GB2312" w:eastAsia="仿宋_GB2312" w:cs="仿宋_GB2312"/>
          <w:kern w:val="0"/>
          <w:sz w:val="32"/>
          <w:szCs w:val="32"/>
        </w:rPr>
      </w:pPr>
      <w:r>
        <w:rPr>
          <w:rFonts w:hint="eastAsia" w:ascii="仿宋_GB2312" w:eastAsia="仿宋_GB2312" w:cs="仿宋_GB2312"/>
          <w:kern w:val="0"/>
          <w:sz w:val="32"/>
          <w:szCs w:val="32"/>
        </w:rPr>
        <w:t>将大三下学期课程提前结束（例如：春季学期最长课程48学时，可以考虑每周3次课，在第10周考试结束；春季学期8周+小学期4周+暑期6周+秋季学期到10月，总计6个月参与实习与科研。根据实际情况调整计划，也可以将实习延至秋季学期初。）</w:t>
      </w:r>
    </w:p>
    <w:p w14:paraId="68DF4269">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同时将在2024级培养方案中将部分第六学期课程调整到第五学期。</w:t>
      </w:r>
    </w:p>
    <w:p w14:paraId="58039E5E">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（二）“双导师”制度</w:t>
      </w:r>
    </w:p>
    <w:p w14:paraId="1DDF6F64">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为每位参与实习的学生配备一名学校导师和一名企业导师，明确双导师职责，共同开展业务指导、思想教育和职业规划，形成校企协同育人合力。</w:t>
      </w:r>
    </w:p>
    <w:p w14:paraId="1FC110BE">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（三）建立产教融合实践基地</w:t>
      </w:r>
    </w:p>
    <w:p w14:paraId="373A9E3D">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整合校企优质资源，共建稳定、规范的实习实践基地。实施“校友反哺”计划，梳理各行业有影响力的校友资源，设立校友企业实习基地，发挥校友传帮带作用。学院计划建设不少于20个产教融合实践基地。目前已经初步达成意向的企业有：移远通信技术有限公司（桂林）、桂林优利特医疗电子有限公司、桂林市啄木鸟医疗器械有限公司、桂林飞宇科技股份有限公司、桂林智神信息技术有限公司、桂林光隆科技集团股份有限公司、桂林优创亿科技有限公司、深圳麦格米特电气股份有限公司、广东盛路通信科技股份有限公司、广东派捷智能装备有限公司等。</w:t>
      </w:r>
    </w:p>
    <w:p w14:paraId="004CC649">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（四）校企共建课程与优质教学资源</w:t>
      </w:r>
    </w:p>
    <w:p w14:paraId="1C5F7F57">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积极引进企业创新资源和真实案例，校企共同设计课程体系、优化课程结构、更新教学内容，推动学院课程与行业标准、生产流程和项目开发有效衔接。学院对校企共建的优质课程和教学资源给予经费支持。</w:t>
      </w:r>
    </w:p>
    <w:p w14:paraId="16A4F584">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（五）完善人才培养评价机制</w:t>
      </w:r>
    </w:p>
    <w:p w14:paraId="516B80B3">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构建学校、企业、行业三方共同参与的人才培养质量评价体系，强化过程监测与效果评估，建立基于反馈的动态调整机制，持续提升人才培养与社会需求的契合度。</w:t>
      </w:r>
    </w:p>
    <w:p w14:paraId="24353243">
      <w:pPr>
        <w:adjustRightInd w:val="0"/>
        <w:snapToGrid w:val="0"/>
        <w:spacing w:line="580" w:lineRule="exact"/>
        <w:ind w:left="640"/>
        <w:rPr>
          <w:rFonts w:hint="eastAsia" w:ascii="黑体" w:hAnsi="黑体" w:eastAsia="黑体" w:cs="仿宋_GB2312"/>
          <w:sz w:val="32"/>
          <w:szCs w:val="32"/>
        </w:rPr>
      </w:pPr>
      <w:r>
        <w:rPr>
          <w:rFonts w:hint="eastAsia" w:ascii="黑体" w:hAnsi="黑体" w:eastAsia="黑体" w:cs="仿宋_GB2312"/>
          <w:sz w:val="32"/>
          <w:szCs w:val="32"/>
        </w:rPr>
        <w:t>五、考核与激励</w:t>
      </w:r>
    </w:p>
    <w:p w14:paraId="27D60903">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（一）教师</w:t>
      </w:r>
    </w:p>
    <w:p w14:paraId="5924754E">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将产教融合工作纳入学院绩效考核体系，对成效显著的团队和个人予以表彰，鼓励教师积极参与企业实践、“双师型”发展，并在职称评定、评优评先中予以倾斜。设立企业推荐奖励金，按成功推荐实习人数分档发放；核定实习指导超额工作量，发放专项津贴；对通过实习促成技术合作、获得专利或横向课题的，按规给予高比例成果奖励。</w:t>
      </w:r>
    </w:p>
    <w:p w14:paraId="66B51A89">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（二）合作企业</w:t>
      </w:r>
    </w:p>
    <w:p w14:paraId="4CC7D482">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授予优秀合作企业“产教融合基地”称号，并提供校园招聘绿色通道；协助企业对接地方实习补贴、税费减免等优惠政策。优先向合作企业开放实验室、科研设备，联合开展研发；提供员工培训、学历提升等支持；对核心企业，可协商开设“订单班”，保障人才定向输送。</w:t>
      </w:r>
    </w:p>
    <w:p w14:paraId="293057CB">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（三）学生</w:t>
      </w:r>
    </w:p>
    <w:p w14:paraId="62347000">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完成产教融合项目并通过考核</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lang w:val="en-US" w:eastAsia="zh-CN"/>
        </w:rPr>
        <w:t>达到课程目标</w:t>
      </w:r>
      <w:r>
        <w:rPr>
          <w:rFonts w:hint="eastAsia" w:ascii="仿宋_GB2312" w:hAnsi="仿宋" w:eastAsia="仿宋_GB2312" w:cs="仿宋_GB2312"/>
          <w:sz w:val="32"/>
          <w:szCs w:val="32"/>
        </w:rPr>
        <w:t>的学生，可以认定如下课程:</w:t>
      </w:r>
    </w:p>
    <w:p w14:paraId="39A7863E">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（1）认定为“生产实习”学分：直接获得生产实习所需全部学分，可不再参加学院统一组织的短期集中实习；</w:t>
      </w:r>
    </w:p>
    <w:p w14:paraId="30916598">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（2）可认定专业工程设计学分，需选课并提交相关材料；</w:t>
      </w:r>
    </w:p>
    <w:p w14:paraId="0BDF749E">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（3）可认定电子工程训练2学分，需选课并提交相关材料;</w:t>
      </w:r>
    </w:p>
    <w:p w14:paraId="35DACA1D">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（4）可认定为创新创业拓展课程学分（具体认定方法见学校相应文件）；</w:t>
      </w:r>
    </w:p>
    <w:p w14:paraId="6B07B9D2">
      <w:pPr>
        <w:autoSpaceDE w:val="0"/>
        <w:autoSpaceDN w:val="0"/>
        <w:adjustRightInd w:val="0"/>
        <w:ind w:firstLine="640" w:firstLineChars="200"/>
        <w:jc w:val="left"/>
        <w:rPr>
          <w:rFonts w:hint="eastAsia" w:ascii="仿宋_GB2312" w:eastAsia="仿宋_GB2312" w:cs="仿宋_GB2312"/>
          <w:kern w:val="0"/>
          <w:sz w:val="32"/>
          <w:szCs w:val="32"/>
        </w:rPr>
      </w:pPr>
      <w:r>
        <w:rPr>
          <w:rFonts w:hint="eastAsia" w:ascii="仿宋_GB2312" w:hAnsi="仿宋" w:eastAsia="仿宋_GB2312" w:cs="仿宋_GB2312"/>
          <w:sz w:val="32"/>
          <w:szCs w:val="32"/>
        </w:rPr>
        <w:t>（5）</w:t>
      </w:r>
      <w:r>
        <w:rPr>
          <w:rFonts w:hint="eastAsia" w:ascii="仿宋_GB2312" w:eastAsia="仿宋_GB2312" w:cs="仿宋_GB2312"/>
          <w:kern w:val="0"/>
          <w:sz w:val="32"/>
          <w:szCs w:val="32"/>
        </w:rPr>
        <w:t>根据实际承担的岗位内容，可认定为</w:t>
      </w:r>
      <w:r>
        <w:rPr>
          <w:rFonts w:hint="eastAsia" w:ascii="仿宋_GB2312" w:eastAsia="仿宋_GB2312"/>
          <w:sz w:val="30"/>
          <w:szCs w:val="30"/>
        </w:rPr>
        <w:t>多元化教育课程</w:t>
      </w:r>
      <w:r>
        <w:rPr>
          <w:rFonts w:hint="eastAsia" w:ascii="仿宋_GB2312" w:eastAsia="仿宋_GB2312" w:cs="仿宋_GB2312"/>
          <w:kern w:val="0"/>
          <w:sz w:val="32"/>
          <w:szCs w:val="32"/>
        </w:rPr>
        <w:t>学分，需要提交申请并交学院相关课程组进行讨论后认定。</w:t>
      </w:r>
    </w:p>
    <w:p w14:paraId="3EA4D50C">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设立“产教融合”专项奖学金，奖励优秀实习生；对实习中的创新成果按贡献度给予奖励；设立“产教融合之星”称号，并进行公开表彰。优秀实习生享有优先就业推荐资格，核心合作企业可设立“就业直通车”直接录用；提供个性化的职业生涯规划辅导。</w:t>
      </w:r>
    </w:p>
    <w:p w14:paraId="548E0014">
      <w:pPr>
        <w:adjustRightInd w:val="0"/>
        <w:snapToGrid w:val="0"/>
        <w:spacing w:line="580" w:lineRule="exact"/>
        <w:ind w:left="640"/>
        <w:rPr>
          <w:rFonts w:hint="eastAsia" w:ascii="黑体" w:hAnsi="黑体" w:eastAsia="黑体" w:cs="仿宋_GB2312"/>
          <w:sz w:val="32"/>
          <w:szCs w:val="32"/>
        </w:rPr>
      </w:pPr>
      <w:r>
        <w:rPr>
          <w:rFonts w:hint="eastAsia" w:ascii="黑体" w:hAnsi="黑体" w:eastAsia="黑体" w:cs="仿宋_GB2312"/>
          <w:sz w:val="32"/>
          <w:szCs w:val="32"/>
        </w:rPr>
        <w:t>六、保障措施</w:t>
      </w:r>
    </w:p>
    <w:p w14:paraId="66A5ED7C">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（一）组织保障</w:t>
      </w:r>
    </w:p>
    <w:p w14:paraId="06948F4F">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成立学院产教融合专项工作小组，学院党委书记、院长担任组长，成员包括：分管学工工作党委副书记、分管学院教学工作副院长、分管学院科研工作副院长等。</w:t>
      </w:r>
    </w:p>
    <w:p w14:paraId="0C4A7456">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（二）经费保障</w:t>
      </w:r>
    </w:p>
    <w:p w14:paraId="1F5DC848">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设立产教融合专项经费，用于学生实习路费报销、实训基地建设、师资培训、课程开发等。积极争取政府财政支持、企业投入与社会捐赠，拓宽经费来源渠道。</w:t>
      </w:r>
    </w:p>
    <w:p w14:paraId="6BD93F1B">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（三）学生权益保障</w:t>
      </w:r>
    </w:p>
    <w:p w14:paraId="0856DD8E">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学院统一为学生购买实习责任险，并确保企业提供安全合规的实习环境和劳动保护。安排实习指导教师或辅导员定期走访、驻厂，及时了解学生动态，提供生活帮助与心理疏导，解决实际困难。</w:t>
      </w:r>
    </w:p>
    <w:p w14:paraId="077E560C">
      <w:pPr>
        <w:adjustRightInd w:val="0"/>
        <w:snapToGrid w:val="0"/>
        <w:spacing w:line="580" w:lineRule="exact"/>
        <w:ind w:firstLine="643"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（四）建立风险预警与应急机制</w:t>
      </w:r>
    </w:p>
    <w:p w14:paraId="14B7CC73">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对实习企业进行定期走访和评估，及时发现潜在问题。设立24小时热线，处理实习期间的紧急事件，确保学生安全。</w:t>
      </w:r>
    </w:p>
    <w:p w14:paraId="6A2B1331">
      <w:pPr>
        <w:adjustRightInd w:val="0"/>
        <w:snapToGrid w:val="0"/>
        <w:spacing w:line="580" w:lineRule="exact"/>
        <w:ind w:left="640"/>
        <w:rPr>
          <w:rFonts w:hint="eastAsia" w:ascii="黑体" w:hAnsi="黑体" w:eastAsia="黑体" w:cs="仿宋_GB2312"/>
          <w:sz w:val="32"/>
          <w:szCs w:val="32"/>
        </w:rPr>
      </w:pPr>
      <w:r>
        <w:rPr>
          <w:rFonts w:hint="eastAsia" w:ascii="黑体" w:hAnsi="黑体" w:eastAsia="黑体" w:cs="仿宋_GB2312"/>
          <w:sz w:val="32"/>
          <w:szCs w:val="32"/>
        </w:rPr>
        <w:t>七、附则</w:t>
      </w:r>
    </w:p>
    <w:p w14:paraId="118C4094">
      <w:pPr>
        <w:adjustRightInd w:val="0"/>
        <w:snapToGrid w:val="0"/>
        <w:spacing w:line="58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本办法自发布之日起实施，由信息与通信学院负责解释。</w:t>
      </w:r>
    </w:p>
    <w:p w14:paraId="06F7F4EF">
      <w:pPr>
        <w:adjustRightInd w:val="0"/>
        <w:snapToGrid w:val="0"/>
        <w:spacing w:line="580" w:lineRule="exact"/>
        <w:ind w:firstLine="640" w:firstLineChars="200"/>
        <w:rPr>
          <w:rFonts w:hint="eastAsia" w:ascii="仿宋_GB2312" w:hAnsi="仿宋" w:eastAsia="仿宋_GB2312" w:cs="仿宋_GB2312"/>
          <w:sz w:val="32"/>
          <w:szCs w:val="32"/>
        </w:rPr>
      </w:pPr>
    </w:p>
    <w:p w14:paraId="2ACE18C9">
      <w:pPr>
        <w:adjustRightInd w:val="0"/>
        <w:snapToGrid w:val="0"/>
        <w:spacing w:line="580" w:lineRule="exact"/>
        <w:ind w:firstLine="640" w:firstLineChars="200"/>
        <w:rPr>
          <w:rFonts w:hint="eastAsia" w:ascii="仿宋_GB2312" w:hAnsi="仿宋" w:eastAsia="仿宋_GB2312" w:cs="仿宋_GB2312"/>
          <w:sz w:val="32"/>
          <w:szCs w:val="32"/>
        </w:rPr>
      </w:pPr>
    </w:p>
    <w:p w14:paraId="433422DE">
      <w:pPr>
        <w:adjustRightInd w:val="0"/>
        <w:snapToGrid w:val="0"/>
        <w:spacing w:line="580" w:lineRule="exact"/>
        <w:ind w:firstLine="640" w:firstLineChars="200"/>
        <w:rPr>
          <w:rFonts w:hint="eastAsia" w:ascii="仿宋_GB2312" w:hAnsi="仿宋" w:eastAsia="仿宋_GB2312" w:cs="仿宋_GB2312"/>
          <w:sz w:val="32"/>
          <w:szCs w:val="32"/>
        </w:rPr>
      </w:pPr>
    </w:p>
    <w:p w14:paraId="3EA161CE">
      <w:pPr>
        <w:adjustRightInd w:val="0"/>
        <w:snapToGrid w:val="0"/>
        <w:spacing w:line="580" w:lineRule="exact"/>
        <w:ind w:firstLine="640" w:firstLineChars="200"/>
        <w:jc w:val="right"/>
        <w:rPr>
          <w:rFonts w:hint="eastAsia" w:ascii="仿宋_GB2312" w:hAnsi="仿宋" w:eastAsia="仿宋_GB2312" w:cs="仿宋_GB2312"/>
          <w:sz w:val="32"/>
          <w:szCs w:val="32"/>
        </w:rPr>
      </w:pPr>
      <w:r>
        <w:rPr>
          <w:rFonts w:hint="eastAsia" w:ascii="仿宋_GB2312" w:hAnsi="仿宋" w:eastAsia="仿宋_GB2312" w:cs="仿宋_GB2312"/>
          <w:sz w:val="32"/>
          <w:szCs w:val="32"/>
        </w:rPr>
        <w:t>信息与通信学院</w:t>
      </w:r>
    </w:p>
    <w:p w14:paraId="7A5FC7D6">
      <w:pPr>
        <w:adjustRightInd w:val="0"/>
        <w:snapToGrid w:val="0"/>
        <w:spacing w:line="580" w:lineRule="exact"/>
        <w:ind w:firstLine="640" w:firstLineChars="200"/>
        <w:jc w:val="right"/>
        <w:rPr>
          <w:rFonts w:hint="eastAsia" w:ascii="仿宋_GB2312" w:hAnsi="仿宋" w:eastAsia="仿宋_GB2312" w:cs="仿宋_GB2312"/>
          <w:sz w:val="32"/>
          <w:szCs w:val="32"/>
        </w:rPr>
      </w:pPr>
      <w:r>
        <w:rPr>
          <w:rFonts w:ascii="仿宋_GB2312" w:hAnsi="仿宋" w:eastAsia="仿宋_GB2312" w:cs="仿宋_GB2312"/>
          <w:sz w:val="32"/>
          <w:szCs w:val="32"/>
        </w:rPr>
        <w:t>2025年</w:t>
      </w:r>
      <w:r>
        <w:rPr>
          <w:rFonts w:hint="eastAsia" w:ascii="仿宋_GB2312" w:hAnsi="仿宋" w:eastAsia="仿宋_GB2312" w:cs="仿宋_GB2312"/>
          <w:sz w:val="32"/>
          <w:szCs w:val="32"/>
        </w:rPr>
        <w:t>9</w:t>
      </w:r>
      <w:r>
        <w:rPr>
          <w:rFonts w:ascii="仿宋_GB2312" w:hAnsi="仿宋" w:eastAsia="仿宋_GB2312" w:cs="仿宋_GB2312"/>
          <w:sz w:val="32"/>
          <w:szCs w:val="32"/>
        </w:rPr>
        <w:t>月</w:t>
      </w:r>
      <w:r>
        <w:rPr>
          <w:rFonts w:hint="eastAsia" w:ascii="仿宋_GB2312" w:hAnsi="仿宋" w:eastAsia="仿宋_GB2312" w:cs="仿宋_GB2312"/>
          <w:sz w:val="32"/>
          <w:szCs w:val="32"/>
        </w:rPr>
        <w:t>30</w:t>
      </w:r>
      <w:r>
        <w:rPr>
          <w:rFonts w:ascii="仿宋_GB2312" w:hAnsi="仿宋" w:eastAsia="仿宋_GB2312" w:cs="仿宋_GB2312"/>
          <w:sz w:val="32"/>
          <w:szCs w:val="32"/>
        </w:rPr>
        <w:t>日</w:t>
      </w:r>
    </w:p>
    <w:sectPr>
      <w:pgSz w:w="11906" w:h="16838"/>
      <w:pgMar w:top="1440" w:right="1474"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E8919FE-CB93-49EB-9953-8A683A268A9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20EF5082-CB30-4A4B-BEE2-ECCC94FF4E6F}"/>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embedRegular r:id="rId3" w:fontKey="{50F06270-4827-4543-8CAE-F31116DB9E2F}"/>
  </w:font>
  <w:font w:name="方正仿宋_GBK">
    <w:altName w:val="微软雅黑"/>
    <w:panose1 w:val="00000000000000000000"/>
    <w:charset w:val="00"/>
    <w:family w:val="auto"/>
    <w:pitch w:val="default"/>
    <w:sig w:usb0="00000000" w:usb1="00000000" w:usb2="00000000" w:usb3="00000000" w:csb0="00000000" w:csb1="00000000"/>
  </w:font>
  <w:font w:name="方正小标宋_GBK">
    <w:panose1 w:val="02000000000000000000"/>
    <w:charset w:val="86"/>
    <w:family w:val="script"/>
    <w:pitch w:val="default"/>
    <w:sig w:usb0="A00002BF" w:usb1="38CF7CFA" w:usb2="00082016" w:usb3="00000000" w:csb0="00040001" w:csb1="00000000"/>
    <w:embedRegular r:id="rId4" w:fontKey="{F7FB3310-96C5-41C8-A4B5-08486D8C7D15}"/>
  </w:font>
  <w:font w:name="仿宋">
    <w:panose1 w:val="02010609060101010101"/>
    <w:charset w:val="86"/>
    <w:family w:val="modern"/>
    <w:pitch w:val="default"/>
    <w:sig w:usb0="800002BF" w:usb1="38CF7CFA" w:usb2="00000016" w:usb3="00000000" w:csb0="00040001" w:csb1="00000000"/>
    <w:embedRegular r:id="rId5" w:fontKey="{D3B3DF6D-947E-4328-BB31-132F4EB2E468}"/>
  </w:font>
  <w:font w:name="楷体_GB2312">
    <w:altName w:val="楷体"/>
    <w:panose1 w:val="02010609030101010101"/>
    <w:charset w:val="86"/>
    <w:family w:val="modern"/>
    <w:pitch w:val="default"/>
    <w:sig w:usb0="00000000" w:usb1="00000000" w:usb2="00000010" w:usb3="00000000" w:csb0="00040000" w:csb1="00000000"/>
    <w:embedRegular r:id="rId6" w:fontKey="{C127E4C9-0427-47F3-A962-2C08554730FA}"/>
  </w:font>
  <w:font w:name="汉仪楷体简">
    <w:altName w:val="宋体"/>
    <w:panose1 w:val="00000000000000000000"/>
    <w:charset w:val="00"/>
    <w:family w:val="auto"/>
    <w:pitch w:val="default"/>
    <w:sig w:usb0="00000000" w:usb1="00000000" w:usb2="00000000" w:usb3="00000000" w:csb0="00000000" w:csb1="00000000"/>
  </w:font>
  <w:font w:name="KSOFE44F9426">
    <w:panose1 w:val="02010609060101010101"/>
    <w:charset w:val="86"/>
    <w:family w:val="auto"/>
    <w:pitch w:val="default"/>
    <w:sig w:usb0="00000001"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675"/>
    <w:rsid w:val="00120675"/>
    <w:rsid w:val="00136ACE"/>
    <w:rsid w:val="00153B5E"/>
    <w:rsid w:val="00213A8F"/>
    <w:rsid w:val="00222A23"/>
    <w:rsid w:val="002C190E"/>
    <w:rsid w:val="002F10D6"/>
    <w:rsid w:val="003465BE"/>
    <w:rsid w:val="0037640F"/>
    <w:rsid w:val="00421590"/>
    <w:rsid w:val="0046390A"/>
    <w:rsid w:val="004773E3"/>
    <w:rsid w:val="004B12CD"/>
    <w:rsid w:val="004B3E8B"/>
    <w:rsid w:val="00560E74"/>
    <w:rsid w:val="00577EAC"/>
    <w:rsid w:val="0058044B"/>
    <w:rsid w:val="00582603"/>
    <w:rsid w:val="005B0812"/>
    <w:rsid w:val="005E56D7"/>
    <w:rsid w:val="00647414"/>
    <w:rsid w:val="00652154"/>
    <w:rsid w:val="00687FD3"/>
    <w:rsid w:val="006B4639"/>
    <w:rsid w:val="006C739C"/>
    <w:rsid w:val="007150CF"/>
    <w:rsid w:val="00726940"/>
    <w:rsid w:val="00766267"/>
    <w:rsid w:val="00784F27"/>
    <w:rsid w:val="007E066B"/>
    <w:rsid w:val="00804EED"/>
    <w:rsid w:val="00831C6B"/>
    <w:rsid w:val="00867694"/>
    <w:rsid w:val="008730B1"/>
    <w:rsid w:val="0089141C"/>
    <w:rsid w:val="00896A72"/>
    <w:rsid w:val="008B40CB"/>
    <w:rsid w:val="00922214"/>
    <w:rsid w:val="00992837"/>
    <w:rsid w:val="00AA7AA4"/>
    <w:rsid w:val="00AB581E"/>
    <w:rsid w:val="00AD4010"/>
    <w:rsid w:val="00B3409A"/>
    <w:rsid w:val="00B57A4E"/>
    <w:rsid w:val="00BE523F"/>
    <w:rsid w:val="00C22B98"/>
    <w:rsid w:val="00C30E9C"/>
    <w:rsid w:val="00C75924"/>
    <w:rsid w:val="00CA41F2"/>
    <w:rsid w:val="00CA4DB5"/>
    <w:rsid w:val="00D20AEB"/>
    <w:rsid w:val="00D26CDC"/>
    <w:rsid w:val="00D37443"/>
    <w:rsid w:val="00D940C1"/>
    <w:rsid w:val="00E07C4E"/>
    <w:rsid w:val="00E97332"/>
    <w:rsid w:val="00EF5AE2"/>
    <w:rsid w:val="00F243F3"/>
    <w:rsid w:val="00F60427"/>
    <w:rsid w:val="00F71CAD"/>
    <w:rsid w:val="00FB5A65"/>
    <w:rsid w:val="00FE2AF9"/>
    <w:rsid w:val="512E2E42"/>
    <w:rsid w:val="FF9F3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2F5597" w:themeColor="accent1" w:themeShade="BF"/>
      <w:sz w:val="24"/>
      <w:szCs w:val="24"/>
    </w:rPr>
  </w:style>
  <w:style w:type="paragraph" w:styleId="7">
    <w:name w:val="heading 6"/>
    <w:basedOn w:val="1"/>
    <w:next w:val="1"/>
    <w:link w:val="22"/>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3"/>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11">
    <w:name w:val="footer"/>
    <w:basedOn w:val="1"/>
    <w:link w:val="36"/>
    <w:unhideWhenUsed/>
    <w:qFormat/>
    <w:uiPriority w:val="99"/>
    <w:pPr>
      <w:tabs>
        <w:tab w:val="center" w:pos="4153"/>
        <w:tab w:val="right" w:pos="8306"/>
      </w:tabs>
      <w:snapToGrid w:val="0"/>
      <w:jc w:val="left"/>
    </w:pPr>
    <w:rPr>
      <w:sz w:val="18"/>
      <w:szCs w:val="18"/>
    </w:rPr>
  </w:style>
  <w:style w:type="paragraph" w:styleId="12">
    <w:name w:val="header"/>
    <w:basedOn w:val="1"/>
    <w:link w:val="35"/>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7"/>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7">
    <w:name w:val="标题 1 字符"/>
    <w:basedOn w:val="16"/>
    <w:link w:val="2"/>
    <w:qFormat/>
    <w:uiPriority w:val="9"/>
    <w:rPr>
      <w:rFonts w:asciiTheme="majorHAnsi" w:hAnsiTheme="majorHAnsi" w:eastAsiaTheme="majorEastAsia" w:cstheme="majorBidi"/>
      <w:color w:val="2F5597" w:themeColor="accent1" w:themeShade="BF"/>
      <w:sz w:val="48"/>
      <w:szCs w:val="48"/>
    </w:rPr>
  </w:style>
  <w:style w:type="character" w:customStyle="1" w:styleId="18">
    <w:name w:val="标题 2 字符"/>
    <w:basedOn w:val="16"/>
    <w:link w:val="3"/>
    <w:semiHidden/>
    <w:uiPriority w:val="9"/>
    <w:rPr>
      <w:rFonts w:asciiTheme="majorHAnsi" w:hAnsiTheme="majorHAnsi" w:eastAsiaTheme="majorEastAsia" w:cstheme="majorBidi"/>
      <w:color w:val="2F5597" w:themeColor="accent1" w:themeShade="BF"/>
      <w:sz w:val="40"/>
      <w:szCs w:val="40"/>
    </w:rPr>
  </w:style>
  <w:style w:type="character" w:customStyle="1" w:styleId="19">
    <w:name w:val="标题 3 字符"/>
    <w:basedOn w:val="16"/>
    <w:link w:val="4"/>
    <w:semiHidden/>
    <w:uiPriority w:val="9"/>
    <w:rPr>
      <w:rFonts w:asciiTheme="majorHAnsi" w:hAnsiTheme="majorHAnsi" w:eastAsiaTheme="majorEastAsia" w:cstheme="majorBidi"/>
      <w:color w:val="2F5597" w:themeColor="accent1" w:themeShade="BF"/>
      <w:sz w:val="32"/>
      <w:szCs w:val="32"/>
    </w:rPr>
  </w:style>
  <w:style w:type="character" w:customStyle="1" w:styleId="20">
    <w:name w:val="标题 4 字符"/>
    <w:basedOn w:val="16"/>
    <w:link w:val="5"/>
    <w:semiHidden/>
    <w:uiPriority w:val="9"/>
    <w:rPr>
      <w:rFonts w:cstheme="majorBidi"/>
      <w:color w:val="2F5597" w:themeColor="accent1" w:themeShade="BF"/>
      <w:sz w:val="28"/>
      <w:szCs w:val="28"/>
    </w:rPr>
  </w:style>
  <w:style w:type="character" w:customStyle="1" w:styleId="21">
    <w:name w:val="标题 5 字符"/>
    <w:basedOn w:val="16"/>
    <w:link w:val="6"/>
    <w:semiHidden/>
    <w:uiPriority w:val="9"/>
    <w:rPr>
      <w:rFonts w:cstheme="majorBidi"/>
      <w:color w:val="2F5597" w:themeColor="accent1" w:themeShade="BF"/>
      <w:sz w:val="24"/>
      <w:szCs w:val="24"/>
    </w:rPr>
  </w:style>
  <w:style w:type="character" w:customStyle="1" w:styleId="22">
    <w:name w:val="标题 6 字符"/>
    <w:basedOn w:val="16"/>
    <w:link w:val="7"/>
    <w:semiHidden/>
    <w:uiPriority w:val="9"/>
    <w:rPr>
      <w:rFonts w:cstheme="majorBidi"/>
      <w:b/>
      <w:bCs/>
      <w:color w:val="2F5597" w:themeColor="accent1" w:themeShade="BF"/>
    </w:rPr>
  </w:style>
  <w:style w:type="character" w:customStyle="1" w:styleId="23">
    <w:name w:val="标题 7 字符"/>
    <w:basedOn w:val="1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6"/>
    <w:link w:val="28"/>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明显强调1"/>
    <w:basedOn w:val="16"/>
    <w:qFormat/>
    <w:uiPriority w:val="21"/>
    <w:rPr>
      <w:i/>
      <w:iCs/>
      <w:color w:val="2F5597" w:themeColor="accent1" w:themeShade="BF"/>
    </w:rPr>
  </w:style>
  <w:style w:type="paragraph" w:styleId="32">
    <w:name w:val="Intense Quote"/>
    <w:basedOn w:val="1"/>
    <w:next w:val="1"/>
    <w:link w:val="33"/>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3">
    <w:name w:val="明显引用 字符"/>
    <w:basedOn w:val="16"/>
    <w:link w:val="32"/>
    <w:uiPriority w:val="30"/>
    <w:rPr>
      <w:i/>
      <w:iCs/>
      <w:color w:val="2F5597" w:themeColor="accent1" w:themeShade="BF"/>
    </w:rPr>
  </w:style>
  <w:style w:type="character" w:customStyle="1" w:styleId="34">
    <w:name w:val="明显参考1"/>
    <w:basedOn w:val="16"/>
    <w:qFormat/>
    <w:uiPriority w:val="32"/>
    <w:rPr>
      <w:b/>
      <w:bCs/>
      <w:smallCaps/>
      <w:color w:val="2F5597" w:themeColor="accent1" w:themeShade="BF"/>
      <w:spacing w:val="5"/>
    </w:rPr>
  </w:style>
  <w:style w:type="character" w:customStyle="1" w:styleId="35">
    <w:name w:val="页眉 字符"/>
    <w:basedOn w:val="16"/>
    <w:link w:val="12"/>
    <w:qFormat/>
    <w:uiPriority w:val="99"/>
    <w:rPr>
      <w:sz w:val="18"/>
      <w:szCs w:val="18"/>
    </w:rPr>
  </w:style>
  <w:style w:type="character" w:customStyle="1" w:styleId="36">
    <w:name w:val="页脚 字符"/>
    <w:basedOn w:val="16"/>
    <w:link w:val="11"/>
    <w:uiPriority w:val="99"/>
    <w:rPr>
      <w:sz w:val="18"/>
      <w:szCs w:val="18"/>
    </w:rPr>
  </w:style>
  <w:style w:type="paragraph" w:customStyle="1" w:styleId="37">
    <w:name w:val="Table Text"/>
    <w:basedOn w:val="1"/>
    <w:semiHidden/>
    <w:qFormat/>
    <w:uiPriority w:val="0"/>
    <w:rPr>
      <w:rFonts w:ascii="宋体" w:hAnsi="宋体" w:eastAsia="宋体" w:cs="宋体"/>
      <w:szCs w:val="21"/>
      <w:lang w:eastAsia="en-US"/>
    </w:rPr>
  </w:style>
  <w:style w:type="table" w:customStyle="1" w:styleId="3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2582</Words>
  <Characters>2603</Characters>
  <Lines>66</Lines>
  <Paragraphs>55</Paragraphs>
  <TotalTime>0</TotalTime>
  <ScaleCrop>false</ScaleCrop>
  <LinksUpToDate>false</LinksUpToDate>
  <CharactersWithSpaces>2603</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2025-11-09T17:23:00Z</dcterms:created>
  <dc:creator>LRF</dc:creator>
  <cp:lastModifiedBy>覃老师</cp:lastModifiedBy>
  <cp:lastPrinted>2025-11-09T17:34:00Z</cp:lastPrinted>
  <dcterms:modified xsi:type="dcterms:W3CDTF">2026-04-30T02:31:55Z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84D40B727FA45A99264C5E69CC337531_42</vt:lpwstr>
  </property>
  <property fmtid="{D5CDD505-2E9C-101B-9397-08002B2CF9AE}" pid="4" name="KSOTemplateDocerSaveRecord">
    <vt:lpwstr>eyJoZGlkIjoiNmJiZWQ4NzVhYzdlOTJkNTQ3Zjk0MTA2Y2IwMDViODciLCJ1c2VySWQiOiI0OTQzNzAzODIifQ==</vt:lpwstr>
  </property>
</Properties>
</file>