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33C06B">
      <w:pPr>
        <w:widowControl/>
        <w:spacing w:line="640" w:lineRule="exact"/>
        <w:jc w:val="center"/>
        <w:rPr>
          <w:rFonts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关于公布桂林电子科技大学2024年</w:t>
      </w:r>
      <w:r>
        <w:rPr>
          <w:rFonts w:hint="eastAsia" w:ascii="方正小标宋_GBK" w:hAnsi="Times New Roman" w:eastAsia="方正小标宋_GBK"/>
          <w:sz w:val="44"/>
          <w:szCs w:val="44"/>
        </w:rPr>
        <w:br w:type="textWrapping"/>
      </w:r>
      <w:r>
        <w:rPr>
          <w:rFonts w:hint="eastAsia" w:ascii="方正小标宋_GBK" w:hAnsi="Times New Roman" w:eastAsia="方正小标宋_GBK"/>
          <w:sz w:val="44"/>
          <w:szCs w:val="44"/>
        </w:rPr>
        <w:t>高能通识课程认定结果的通知</w:t>
      </w:r>
    </w:p>
    <w:p w14:paraId="1CB88E5B">
      <w:pPr>
        <w:spacing w:line="586" w:lineRule="exact"/>
        <w:rPr>
          <w:rFonts w:ascii="Times New Roman" w:hAnsi="Times New Roman" w:eastAsia="仿宋_GB2312"/>
          <w:sz w:val="32"/>
          <w:szCs w:val="48"/>
        </w:rPr>
      </w:pPr>
    </w:p>
    <w:p w14:paraId="74E0D1F7">
      <w:pPr>
        <w:spacing w:line="586" w:lineRule="exact"/>
        <w:rPr>
          <w:rFonts w:ascii="Times New Roman" w:hAnsi="Times New Roman" w:eastAsia="仿宋_GB2312"/>
          <w:sz w:val="32"/>
          <w:szCs w:val="48"/>
        </w:rPr>
      </w:pPr>
      <w:r>
        <w:rPr>
          <w:rFonts w:ascii="Times New Roman" w:hAnsi="Times New Roman" w:eastAsia="仿宋_GB2312"/>
          <w:sz w:val="32"/>
          <w:szCs w:val="48"/>
        </w:rPr>
        <w:t>各单位、各部门</w:t>
      </w:r>
      <w:r>
        <w:rPr>
          <w:rFonts w:hint="eastAsia" w:ascii="Times New Roman" w:hAnsi="Times New Roman" w:eastAsia="仿宋_GB2312"/>
          <w:sz w:val="32"/>
          <w:szCs w:val="48"/>
          <w:lang w:eastAsia="zh-CN"/>
        </w:rPr>
        <w:t>：</w:t>
      </w:r>
      <w:r>
        <w:rPr>
          <w:rFonts w:ascii="Times New Roman" w:hAnsi="Times New Roman" w:eastAsia="仿宋_GB2312"/>
          <w:sz w:val="32"/>
          <w:szCs w:val="48"/>
        </w:rPr>
        <w:t xml:space="preserve"> </w:t>
      </w:r>
    </w:p>
    <w:p w14:paraId="65766179">
      <w:pPr>
        <w:spacing w:line="586" w:lineRule="exact"/>
        <w:ind w:firstLine="640" w:firstLineChars="200"/>
        <w:rPr>
          <w:rFonts w:ascii="Times New Roman" w:hAnsi="Times New Roman" w:eastAsia="仿宋_GB2312"/>
          <w:sz w:val="32"/>
          <w:szCs w:val="48"/>
        </w:rPr>
      </w:pPr>
      <w:r>
        <w:rPr>
          <w:rFonts w:hint="eastAsia" w:ascii="Times New Roman" w:hAnsi="Times New Roman" w:eastAsia="仿宋_GB2312"/>
          <w:sz w:val="32"/>
          <w:szCs w:val="48"/>
        </w:rPr>
        <w:t>根据《关于开展2024年高能通识课程认定工作的通知》文件要求，进一步完善优化通识教育课程体系，挖掘学校优质教学资源，提高通识课程教学质量，</w:t>
      </w:r>
      <w:r>
        <w:rPr>
          <w:rFonts w:ascii="Times New Roman" w:hAnsi="Times New Roman" w:eastAsia="仿宋_GB2312"/>
          <w:sz w:val="32"/>
          <w:szCs w:val="48"/>
        </w:rPr>
        <w:t>经个人申报、单位推荐、学校</w:t>
      </w:r>
      <w:r>
        <w:rPr>
          <w:rFonts w:hint="eastAsia" w:ascii="Times New Roman" w:hAnsi="Times New Roman" w:eastAsia="仿宋_GB2312"/>
          <w:sz w:val="32"/>
          <w:szCs w:val="48"/>
        </w:rPr>
        <w:t>评审</w:t>
      </w:r>
      <w:r>
        <w:rPr>
          <w:rFonts w:ascii="Times New Roman" w:hAnsi="Times New Roman" w:eastAsia="仿宋_GB2312"/>
          <w:sz w:val="32"/>
          <w:szCs w:val="48"/>
        </w:rPr>
        <w:t>，</w:t>
      </w:r>
      <w:r>
        <w:rPr>
          <w:rFonts w:hint="eastAsia" w:ascii="Times New Roman" w:hAnsi="Times New Roman" w:eastAsia="仿宋_GB2312"/>
          <w:sz w:val="32"/>
          <w:szCs w:val="48"/>
          <w:lang w:eastAsia="zh-Hans"/>
        </w:rPr>
        <w:t>决定</w:t>
      </w:r>
      <w:r>
        <w:rPr>
          <w:rFonts w:hint="eastAsia" w:ascii="Times New Roman" w:hAnsi="Times New Roman" w:eastAsia="仿宋_GB2312"/>
          <w:sz w:val="32"/>
          <w:szCs w:val="48"/>
          <w:lang w:val="en-US" w:eastAsia="zh-CN"/>
        </w:rPr>
        <w:t>认定30</w:t>
      </w:r>
      <w:r>
        <w:rPr>
          <w:rFonts w:hint="eastAsia" w:ascii="Times New Roman" w:hAnsi="Times New Roman" w:eastAsia="仿宋_GB2312"/>
          <w:sz w:val="32"/>
          <w:szCs w:val="48"/>
          <w:lang w:eastAsia="zh-Hans"/>
        </w:rPr>
        <w:t>门</w:t>
      </w:r>
      <w:r>
        <w:rPr>
          <w:rFonts w:hint="eastAsia" w:ascii="Times New Roman" w:hAnsi="Times New Roman" w:eastAsia="仿宋_GB2312"/>
          <w:sz w:val="32"/>
          <w:szCs w:val="48"/>
          <w:lang w:val="en-US" w:eastAsia="zh-CN"/>
        </w:rPr>
        <w:t>高能通识课程</w:t>
      </w:r>
      <w:r>
        <w:rPr>
          <w:rFonts w:ascii="Times New Roman" w:hAnsi="Times New Roman" w:eastAsia="仿宋_GB2312"/>
          <w:sz w:val="32"/>
          <w:szCs w:val="48"/>
          <w:lang w:eastAsia="zh-Hans"/>
        </w:rPr>
        <w:t>，</w:t>
      </w:r>
      <w:r>
        <w:rPr>
          <w:rFonts w:hint="eastAsia" w:ascii="Times New Roman" w:hAnsi="Times New Roman" w:eastAsia="仿宋_GB2312"/>
          <w:sz w:val="32"/>
          <w:szCs w:val="48"/>
          <w:lang w:eastAsia="zh-Hans"/>
        </w:rPr>
        <w:t>现予以公布</w:t>
      </w:r>
      <w:r>
        <w:rPr>
          <w:rFonts w:ascii="Times New Roman" w:hAnsi="Times New Roman" w:eastAsia="仿宋_GB2312"/>
          <w:sz w:val="32"/>
          <w:szCs w:val="48"/>
          <w:lang w:eastAsia="zh-Hans"/>
        </w:rPr>
        <w:t>。</w:t>
      </w:r>
      <w:r>
        <w:rPr>
          <w:rFonts w:ascii="Times New Roman" w:hAnsi="Times New Roman" w:eastAsia="仿宋_GB2312"/>
          <w:sz w:val="32"/>
          <w:szCs w:val="48"/>
          <w:lang w:eastAsia="zh-Hans"/>
        </w:rPr>
        <w:br w:type="textWrapping"/>
      </w:r>
      <w:r>
        <w:rPr>
          <w:rFonts w:hint="eastAsia" w:ascii="Times New Roman" w:hAnsi="Times New Roman" w:eastAsia="仿宋_GB2312"/>
          <w:sz w:val="32"/>
          <w:szCs w:val="48"/>
          <w:lang w:val="en-US" w:eastAsia="zh-CN"/>
        </w:rPr>
        <w:t xml:space="preserve">    请各单位加强对本单位高能通识课程的支持和管理，对</w:t>
      </w:r>
      <w:r>
        <w:rPr>
          <w:rFonts w:hint="eastAsia" w:ascii="Times New Roman" w:hAnsi="Times New Roman" w:eastAsia="仿宋_GB2312"/>
          <w:sz w:val="32"/>
          <w:szCs w:val="48"/>
          <w:lang w:eastAsia="zh-Hans"/>
        </w:rPr>
        <w:t>课程的教学运行实施持续监测和综合评价，</w:t>
      </w:r>
      <w:r>
        <w:rPr>
          <w:rFonts w:hint="eastAsia" w:ascii="Times New Roman" w:hAnsi="Times New Roman" w:eastAsia="仿宋_GB2312"/>
          <w:sz w:val="32"/>
          <w:szCs w:val="48"/>
          <w:lang w:val="en-US" w:eastAsia="zh-CN"/>
        </w:rPr>
        <w:t>相关课程负责人及团队要持续建设与完善，</w:t>
      </w:r>
      <w:r>
        <w:rPr>
          <w:rFonts w:hint="eastAsia" w:ascii="Times New Roman" w:hAnsi="Times New Roman" w:eastAsia="仿宋_GB2312"/>
          <w:sz w:val="32"/>
          <w:szCs w:val="48"/>
          <w:lang w:eastAsia="zh-Hans"/>
        </w:rPr>
        <w:t>注重</w:t>
      </w:r>
      <w:r>
        <w:rPr>
          <w:rFonts w:hint="eastAsia" w:ascii="Times New Roman" w:hAnsi="Times New Roman" w:eastAsia="仿宋_GB2312"/>
          <w:sz w:val="32"/>
          <w:szCs w:val="48"/>
          <w:lang w:val="en-US" w:eastAsia="zh-CN"/>
        </w:rPr>
        <w:t>高能通识</w:t>
      </w:r>
      <w:r>
        <w:rPr>
          <w:rFonts w:hint="eastAsia" w:ascii="Times New Roman" w:hAnsi="Times New Roman" w:eastAsia="仿宋_GB2312"/>
          <w:sz w:val="32"/>
          <w:szCs w:val="48"/>
          <w:lang w:eastAsia="zh-Hans"/>
        </w:rPr>
        <w:t>课程建设与应用优秀案例的推广，推进</w:t>
      </w:r>
      <w:r>
        <w:rPr>
          <w:rFonts w:hint="eastAsia" w:ascii="Times New Roman" w:hAnsi="Times New Roman" w:eastAsia="仿宋_GB2312"/>
          <w:sz w:val="32"/>
          <w:szCs w:val="48"/>
          <w:lang w:val="en-US" w:eastAsia="zh-CN"/>
        </w:rPr>
        <w:t>高能通识</w:t>
      </w:r>
      <w:r>
        <w:rPr>
          <w:rFonts w:hint="eastAsia" w:ascii="Times New Roman" w:hAnsi="Times New Roman" w:eastAsia="仿宋_GB2312"/>
          <w:sz w:val="32"/>
          <w:szCs w:val="48"/>
          <w:lang w:eastAsia="zh-Hans"/>
        </w:rPr>
        <w:t>课程示范引领作用取得更大成效。</w:t>
      </w:r>
      <w:r>
        <w:rPr>
          <w:rFonts w:ascii="Times New Roman" w:hAnsi="Times New Roman" w:eastAsia="仿宋_GB2312"/>
          <w:sz w:val="32"/>
          <w:szCs w:val="48"/>
        </w:rPr>
        <w:t>高能通识课程应保持开课稳定，每学年应至少开课一次</w:t>
      </w:r>
      <w:r>
        <w:rPr>
          <w:rFonts w:hint="eastAsia" w:ascii="Times New Roman" w:hAnsi="Times New Roman" w:eastAsia="仿宋_GB2312"/>
          <w:sz w:val="32"/>
          <w:szCs w:val="48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48"/>
          <w:lang w:eastAsia="zh-Hans"/>
        </w:rPr>
        <w:t>对未按要求持续提供教学服务、出现严重质量问题、课程团队成员出现师德师风等问题</w:t>
      </w:r>
      <w:r>
        <w:rPr>
          <w:rFonts w:hint="eastAsia" w:ascii="Times New Roman" w:hAnsi="Times New Roman" w:eastAsia="仿宋_GB2312"/>
          <w:sz w:val="32"/>
          <w:szCs w:val="48"/>
          <w:lang w:eastAsia="zh-CN"/>
        </w:rPr>
        <w:t>、</w:t>
      </w:r>
      <w:r>
        <w:rPr>
          <w:rFonts w:ascii="Times New Roman" w:hAnsi="Times New Roman" w:eastAsia="仿宋_GB2312"/>
          <w:sz w:val="32"/>
          <w:szCs w:val="48"/>
        </w:rPr>
        <w:t>连续两学年不开课的课程将不再列入高能通识课程清单。</w:t>
      </w:r>
    </w:p>
    <w:p w14:paraId="2E0DFDDF">
      <w:pPr>
        <w:rPr>
          <w:rFonts w:ascii="Times New Roman" w:hAnsi="Times New Roman" w:eastAsia="仿宋_GB2312"/>
          <w:szCs w:val="32"/>
        </w:rPr>
      </w:pPr>
    </w:p>
    <w:p w14:paraId="31E44558">
      <w:pPr>
        <w:rPr>
          <w:rFonts w:hint="eastAsia" w:ascii="Times New Roman" w:hAnsi="Times New Roman" w:eastAsia="仿宋_GB2312"/>
          <w:szCs w:val="32"/>
        </w:rPr>
      </w:pPr>
    </w:p>
    <w:p w14:paraId="1F2F8CF5">
      <w:pPr>
        <w:rPr>
          <w:rFonts w:hint="eastAsia" w:ascii="Times New Roman" w:hAnsi="Times New Roman" w:eastAsia="仿宋_GB2312"/>
          <w:szCs w:val="32"/>
        </w:rPr>
      </w:pPr>
    </w:p>
    <w:p w14:paraId="32A2605B">
      <w:pPr>
        <w:spacing w:line="586" w:lineRule="exact"/>
        <w:ind w:left="1758" w:leftChars="304" w:hanging="1120" w:hangingChars="350"/>
        <w:rPr>
          <w:rFonts w:hint="default" w:ascii="Times New Roman" w:hAnsi="Times New Roman" w:eastAsia="仿宋_GB2312"/>
          <w:sz w:val="32"/>
          <w:szCs w:val="48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48"/>
          <w:lang w:eastAsia="zh-Hans"/>
        </w:rPr>
        <w:t>附件：</w:t>
      </w:r>
      <w:r>
        <w:rPr>
          <w:rFonts w:hint="default" w:ascii="Times New Roman" w:hAnsi="Times New Roman" w:eastAsia="仿宋_GB2312"/>
          <w:sz w:val="32"/>
          <w:szCs w:val="48"/>
          <w:lang w:eastAsia="zh-Hans"/>
        </w:rPr>
        <w:t>202</w:t>
      </w:r>
      <w:r>
        <w:rPr>
          <w:rFonts w:hint="eastAsia" w:ascii="Times New Roman" w:hAnsi="Times New Roman" w:eastAsia="仿宋_GB2312"/>
          <w:sz w:val="32"/>
          <w:szCs w:val="48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48"/>
          <w:lang w:val="en-US" w:eastAsia="zh-Hans"/>
        </w:rPr>
        <w:t>年</w:t>
      </w:r>
      <w:r>
        <w:rPr>
          <w:rFonts w:hint="eastAsia" w:ascii="Times New Roman" w:hAnsi="Times New Roman" w:eastAsia="仿宋_GB2312"/>
          <w:sz w:val="32"/>
          <w:szCs w:val="48"/>
          <w:lang w:eastAsia="zh-Hans"/>
        </w:rPr>
        <w:t>桂林电子科技大学</w:t>
      </w:r>
      <w:r>
        <w:rPr>
          <w:rFonts w:hint="eastAsia" w:ascii="Times New Roman" w:hAnsi="Times New Roman" w:eastAsia="仿宋_GB2312"/>
          <w:sz w:val="32"/>
          <w:szCs w:val="48"/>
          <w:lang w:val="en-US" w:eastAsia="zh-CN"/>
        </w:rPr>
        <w:t>高能通识课程名单</w:t>
      </w:r>
    </w:p>
    <w:p w14:paraId="751592A5">
      <w:pPr>
        <w:spacing w:line="586" w:lineRule="exact"/>
        <w:ind w:left="1438" w:leftChars="304" w:hanging="800" w:hangingChars="250"/>
        <w:rPr>
          <w:rFonts w:ascii="Times New Roman" w:hAnsi="Times New Roman" w:eastAsia="仿宋_GB2312"/>
          <w:sz w:val="32"/>
          <w:szCs w:val="48"/>
          <w:lang w:eastAsia="zh-Hans"/>
        </w:rPr>
      </w:pPr>
    </w:p>
    <w:p w14:paraId="5B0E7DFC">
      <w:pPr>
        <w:spacing w:line="586" w:lineRule="exact"/>
        <w:ind w:left="1438" w:leftChars="304" w:hanging="800" w:hangingChars="250"/>
        <w:rPr>
          <w:rFonts w:ascii="Times New Roman" w:hAnsi="Times New Roman" w:eastAsia="仿宋_GB2312"/>
          <w:sz w:val="32"/>
          <w:szCs w:val="48"/>
          <w:lang w:eastAsia="zh-Hans"/>
        </w:rPr>
      </w:pPr>
    </w:p>
    <w:p w14:paraId="71E1F480">
      <w:pPr>
        <w:spacing w:line="586" w:lineRule="exact"/>
        <w:ind w:firstLine="5600" w:firstLineChars="1750"/>
        <w:rPr>
          <w:rFonts w:ascii="Times New Roman" w:hAnsi="Times New Roman" w:eastAsia="仿宋_GB2312"/>
          <w:sz w:val="32"/>
          <w:szCs w:val="48"/>
          <w:lang w:eastAsia="zh-Hans"/>
        </w:rPr>
      </w:pPr>
      <w:r>
        <w:rPr>
          <w:rFonts w:hint="eastAsia" w:ascii="Times New Roman" w:hAnsi="Times New Roman" w:eastAsia="仿宋_GB2312"/>
          <w:sz w:val="32"/>
          <w:szCs w:val="48"/>
          <w:lang w:eastAsia="zh-Hans"/>
        </w:rPr>
        <w:t>桂林电子科技大学</w:t>
      </w:r>
    </w:p>
    <w:p w14:paraId="1D6A6D14">
      <w:pPr>
        <w:spacing w:line="586" w:lineRule="exact"/>
        <w:ind w:firstLine="640" w:firstLineChars="200"/>
        <w:rPr>
          <w:rFonts w:ascii="Times New Roman" w:hAnsi="Times New Roman" w:eastAsia="仿宋_GB2312"/>
          <w:sz w:val="32"/>
          <w:szCs w:val="48"/>
          <w:lang w:eastAsia="zh-Hans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仿宋_GB2312"/>
          <w:sz w:val="32"/>
          <w:szCs w:val="48"/>
          <w:lang w:eastAsia="zh-Hans"/>
        </w:rPr>
        <w:t xml:space="preserve">                              </w:t>
      </w:r>
      <w:r>
        <w:rPr>
          <w:rFonts w:ascii="Times New Roman" w:hAnsi="Times New Roman" w:eastAsia="仿宋_GB2312"/>
          <w:sz w:val="32"/>
          <w:szCs w:val="48"/>
          <w:lang w:eastAsia="zh-Hans"/>
        </w:rPr>
        <w:t xml:space="preserve"> </w:t>
      </w:r>
      <w:r>
        <w:rPr>
          <w:rFonts w:hint="eastAsia" w:ascii="Times New Roman" w:hAnsi="Times New Roman" w:eastAsia="仿宋_GB2312"/>
          <w:sz w:val="32"/>
          <w:szCs w:val="48"/>
          <w:lang w:eastAsia="zh-Hans"/>
        </w:rPr>
        <w:t xml:space="preserve"> 202</w:t>
      </w:r>
      <w:r>
        <w:rPr>
          <w:rFonts w:hint="eastAsia" w:ascii="Times New Roman" w:hAnsi="Times New Roman" w:eastAsia="仿宋_GB2312"/>
          <w:sz w:val="32"/>
          <w:szCs w:val="48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48"/>
          <w:lang w:eastAsia="zh-Hans"/>
        </w:rPr>
        <w:t>年</w:t>
      </w:r>
      <w:r>
        <w:rPr>
          <w:rFonts w:hint="eastAsia" w:ascii="Times New Roman" w:hAnsi="Times New Roman" w:eastAsia="仿宋_GB2312"/>
          <w:sz w:val="32"/>
          <w:szCs w:val="48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48"/>
          <w:lang w:eastAsia="zh-Hans"/>
        </w:rPr>
        <w:t>月</w:t>
      </w:r>
      <w:r>
        <w:rPr>
          <w:rFonts w:ascii="Times New Roman" w:hAnsi="Times New Roman" w:eastAsia="仿宋_GB2312"/>
          <w:sz w:val="32"/>
          <w:szCs w:val="48"/>
          <w:lang w:eastAsia="zh-Hans"/>
        </w:rPr>
        <w:t xml:space="preserve"> </w:t>
      </w:r>
      <w:r>
        <w:rPr>
          <w:rFonts w:hint="eastAsia" w:ascii="Times New Roman" w:hAnsi="Times New Roman" w:eastAsia="仿宋_GB2312"/>
          <w:sz w:val="32"/>
          <w:szCs w:val="48"/>
          <w:lang w:eastAsia="zh-Hans"/>
        </w:rPr>
        <w:t>日</w:t>
      </w:r>
    </w:p>
    <w:p w14:paraId="351D4A6D">
      <w:pPr>
        <w:spacing w:line="586" w:lineRule="exact"/>
        <w:rPr>
          <w:rFonts w:ascii="Times New Roman" w:hAnsi="Times New Roman" w:eastAsia="仿宋_GB2312"/>
          <w:sz w:val="32"/>
          <w:szCs w:val="48"/>
          <w:lang w:eastAsia="zh-Han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6623DD1D">
      <w:pPr>
        <w:spacing w:line="560" w:lineRule="exact"/>
        <w:rPr>
          <w:rFonts w:ascii="黑体" w:hAnsi="黑体" w:eastAsia="黑体" w:cs="黑体"/>
          <w:sz w:val="32"/>
          <w:szCs w:val="32"/>
        </w:rPr>
      </w:pPr>
    </w:p>
    <w:p w14:paraId="3056014D">
      <w:pPr>
        <w:spacing w:line="660" w:lineRule="exact"/>
        <w:jc w:val="center"/>
        <w:rPr>
          <w:rFonts w:hint="eastAsia" w:ascii="方正小标宋简体" w:hAnsi="Calibri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方正小标宋简体" w:hAnsi="Calibri" w:eastAsia="方正小标宋简体" w:cs="Times New Roman"/>
          <w:sz w:val="44"/>
          <w:szCs w:val="44"/>
          <w:lang w:eastAsia="zh-Hans"/>
        </w:rPr>
        <w:t>202</w:t>
      </w:r>
      <w:r>
        <w:rPr>
          <w:rFonts w:hint="eastAsia" w:ascii="方正小标宋简体" w:hAnsi="Calibri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eastAsia" w:ascii="方正小标宋简体" w:hAnsi="Calibri" w:eastAsia="方正小标宋简体" w:cs="Times New Roman"/>
          <w:sz w:val="44"/>
          <w:szCs w:val="44"/>
          <w:lang w:val="en-US" w:eastAsia="zh-Hans"/>
        </w:rPr>
        <w:t>年</w:t>
      </w:r>
      <w:r>
        <w:rPr>
          <w:rFonts w:hint="eastAsia" w:ascii="方正小标宋简体" w:hAnsi="Calibri" w:eastAsia="方正小标宋简体" w:cs="Times New Roman"/>
          <w:sz w:val="44"/>
          <w:szCs w:val="44"/>
          <w:lang w:eastAsia="zh-Hans"/>
        </w:rPr>
        <w:t>桂林电子科技大学</w:t>
      </w:r>
      <w:r>
        <w:rPr>
          <w:rFonts w:hint="eastAsia" w:ascii="方正小标宋简体" w:hAnsi="Calibri" w:eastAsia="方正小标宋简体" w:cs="Times New Roman"/>
          <w:sz w:val="44"/>
          <w:szCs w:val="44"/>
          <w:lang w:eastAsia="zh-Hans"/>
        </w:rPr>
        <w:br w:type="textWrapping"/>
      </w:r>
      <w:r>
        <w:rPr>
          <w:rFonts w:hint="eastAsia" w:ascii="方正小标宋简体" w:hAnsi="Calibri" w:eastAsia="方正小标宋简体" w:cs="Times New Roman"/>
          <w:sz w:val="44"/>
          <w:szCs w:val="44"/>
          <w:lang w:val="en-US" w:eastAsia="zh-CN"/>
        </w:rPr>
        <w:t>高能通识课程名单</w:t>
      </w:r>
      <w:r>
        <w:rPr>
          <w:rFonts w:hint="eastAsia" w:ascii="方正小标宋简体" w:hAnsi="Calibri" w:eastAsia="方正小标宋简体" w:cs="Times New Roman"/>
          <w:sz w:val="44"/>
          <w:szCs w:val="44"/>
          <w:lang w:val="en-US" w:eastAsia="zh-CN"/>
        </w:rPr>
        <w:br w:type="textWrapping"/>
      </w:r>
    </w:p>
    <w:tbl>
      <w:tblPr>
        <w:tblStyle w:val="6"/>
        <w:tblW w:w="100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2261"/>
        <w:gridCol w:w="2460"/>
        <w:gridCol w:w="2715"/>
        <w:gridCol w:w="1810"/>
      </w:tblGrid>
      <w:tr w14:paraId="53C60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E1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27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AC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8D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所属课程模块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6E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课程负责人</w:t>
            </w:r>
          </w:p>
        </w:tc>
      </w:tr>
      <w:tr w14:paraId="34E95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74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77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EC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工程师职业素养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B1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自然科学与技术工程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B5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莫秋云</w:t>
            </w:r>
          </w:p>
        </w:tc>
      </w:tr>
      <w:tr w14:paraId="4A973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DD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8F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E3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汽车文化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FD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自然科学与技术工程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B2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卢伟</w:t>
            </w:r>
          </w:p>
        </w:tc>
      </w:tr>
      <w:tr w14:paraId="45769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8A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5C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6F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电子信息发展历程与前景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7F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自然科学与技术工程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B1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邓小芳</w:t>
            </w:r>
          </w:p>
        </w:tc>
      </w:tr>
      <w:tr w14:paraId="4EA54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C9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E7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9E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电子工程项目管理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A8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自然科学与技术工程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1C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蒋留兵</w:t>
            </w:r>
          </w:p>
        </w:tc>
      </w:tr>
      <w:tr w14:paraId="22B86F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A0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58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D3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区块链导论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CD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自然科学与技术工程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11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黄冬艳</w:t>
            </w:r>
          </w:p>
        </w:tc>
      </w:tr>
      <w:tr w14:paraId="6394E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CE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23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98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微电子学概论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8C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自然科学与技术工程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DF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王阳培华</w:t>
            </w:r>
          </w:p>
        </w:tc>
      </w:tr>
      <w:tr w14:paraId="56B83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BB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49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计算机与信息安全学院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EC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计算思维的结构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37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自然科学与技术工程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BB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李凤英</w:t>
            </w:r>
          </w:p>
        </w:tc>
      </w:tr>
      <w:tr w14:paraId="4C7FE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13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40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计算机与信息安全学院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C2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Python语言导论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68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自然科学与技术工程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C4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张瑞霞</w:t>
            </w:r>
          </w:p>
        </w:tc>
      </w:tr>
      <w:tr w14:paraId="24CB7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F7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DD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数学与计算科学学院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44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高等数学选讲1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A5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自然科学与技术工程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9B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李光云</w:t>
            </w:r>
          </w:p>
        </w:tc>
      </w:tr>
      <w:tr w14:paraId="0A966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77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D2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97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近代物理认知（理论与实验）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B0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自然科学与技术工程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44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蔡丹</w:t>
            </w:r>
          </w:p>
        </w:tc>
      </w:tr>
      <w:tr w14:paraId="12E9E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AC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7A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建筑与交通工程学院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0A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可再生能源与低碳社会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C2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自然科学与技术工程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8B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周志平</w:t>
            </w:r>
          </w:p>
        </w:tc>
      </w:tr>
      <w:tr w14:paraId="31969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A7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F9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生命与环境科学学院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2E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化学与人类社会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0E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自然科学与技术工程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25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韩国成</w:t>
            </w:r>
          </w:p>
        </w:tc>
      </w:tr>
      <w:tr w14:paraId="111B5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D4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E2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生命与环境科学学院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C6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环境影响评价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0A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自然科学与技术工程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F2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李林</w:t>
            </w:r>
          </w:p>
        </w:tc>
      </w:tr>
      <w:tr w14:paraId="640D1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0D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D4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光电工程学院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1C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探秘光学的世界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27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自然科学与技术工程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24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王方原</w:t>
            </w:r>
          </w:p>
        </w:tc>
      </w:tr>
      <w:tr w14:paraId="23F0F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14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53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B9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创意饰品设计与制作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0C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创新精神与创业实践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54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夏梦茜</w:t>
            </w:r>
          </w:p>
        </w:tc>
      </w:tr>
      <w:tr w14:paraId="69F1A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93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47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5C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产品化工程创新与实践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F5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创新精神与创业实践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3E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王喜社</w:t>
            </w:r>
          </w:p>
        </w:tc>
      </w:tr>
      <w:tr w14:paraId="0BA2F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3E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8D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89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创新工程实践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D4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创新精神与创业实践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9F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李晓记</w:t>
            </w:r>
          </w:p>
        </w:tc>
      </w:tr>
      <w:tr w14:paraId="448AB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C4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6D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1A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新媒体运营实战技能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30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创新精神与创业实践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2D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王德民</w:t>
            </w:r>
          </w:p>
        </w:tc>
      </w:tr>
      <w:tr w14:paraId="3A17A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DE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C0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FD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数字经济导论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F9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文史经典与社会科学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EE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王波</w:t>
            </w:r>
          </w:p>
        </w:tc>
      </w:tr>
      <w:tr w14:paraId="0C893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6D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C6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77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走进中国传统文化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57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文史经典与社会科学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88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赵海珍</w:t>
            </w:r>
          </w:p>
        </w:tc>
      </w:tr>
      <w:tr w14:paraId="3ACD7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BF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45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51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科研项目英语演讲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EA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文史经典与社会科学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85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李倩梅</w:t>
            </w:r>
          </w:p>
        </w:tc>
      </w:tr>
      <w:tr w14:paraId="1635F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4E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4A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4A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以案说民法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D6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文史经典与社会科学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9C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伍跃华</w:t>
            </w:r>
          </w:p>
        </w:tc>
      </w:tr>
      <w:tr w14:paraId="70D74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FD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C9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8C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工程伦理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72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文史经典与社会科学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86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何平</w:t>
            </w:r>
          </w:p>
        </w:tc>
      </w:tr>
      <w:tr w14:paraId="08E16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D9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3E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8D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设计美学欣赏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5B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艺术修养与审美体验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B4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陈政</w:t>
            </w:r>
          </w:p>
        </w:tc>
      </w:tr>
      <w:tr w14:paraId="31BEB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2E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E1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DF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中国民间艺术的奇妙之旅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A8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艺术修养与审美体验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CA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刘萍</w:t>
            </w:r>
          </w:p>
        </w:tc>
      </w:tr>
      <w:tr w14:paraId="775FE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00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9C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E3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吉祥剪纸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21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艺术修养与审美体验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D6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马红</w:t>
            </w:r>
          </w:p>
        </w:tc>
      </w:tr>
      <w:tr w14:paraId="13639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DD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18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23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中外传统园林艺术赏析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42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艺术修养与审美体验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FB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任立新</w:t>
            </w:r>
          </w:p>
        </w:tc>
      </w:tr>
      <w:tr w14:paraId="3A9A8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16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A2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F0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书法创作与审美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BD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艺术修养与审美体验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C8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易旭东</w:t>
            </w:r>
          </w:p>
        </w:tc>
      </w:tr>
      <w:tr w14:paraId="61AB6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CE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60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15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文明互鉴视角下的文艺复兴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CA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艺术修养与审美体验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F9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曾瑞云</w:t>
            </w:r>
          </w:p>
        </w:tc>
      </w:tr>
      <w:tr w14:paraId="7B4FD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6C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20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生命与环境科学学院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A2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音乐与健康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84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艺术修养与审美体验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B1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陈洪波</w:t>
            </w:r>
          </w:p>
        </w:tc>
      </w:tr>
    </w:tbl>
    <w:p w14:paraId="2DDB52CF">
      <w:pPr>
        <w:spacing w:line="660" w:lineRule="exact"/>
        <w:jc w:val="center"/>
        <w:rPr>
          <w:rFonts w:ascii="方正小标宋简体" w:hAnsi="Calibri" w:eastAsia="方正小标宋简体" w:cs="Times New Roman"/>
          <w:sz w:val="44"/>
          <w:szCs w:val="44"/>
          <w:lang w:eastAsia="zh-Hans"/>
        </w:rPr>
      </w:pPr>
      <w:r>
        <w:rPr>
          <w:rFonts w:hint="eastAsia" w:ascii="方正小标宋简体" w:hAnsi="Calibri" w:eastAsia="方正小标宋简体" w:cs="Times New Roman"/>
          <w:sz w:val="44"/>
          <w:szCs w:val="44"/>
          <w:lang w:eastAsia="zh-Hans"/>
        </w:rPr>
        <w:br w:type="textWrapping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B0F526D-DA5D-4C30-AD1F-0FFE1150FBC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E80A02FB-8175-42DB-8B30-09C7AB3048F8}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8E7654BD-32DB-4D73-99B5-B95F4B91D6C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A5D17FD7-48C9-464B-AB0C-3FE3ACDF0A9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BF4ECC45-7549-4A89-9F42-82BCD09BDBB4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6" w:fontKey="{A94DB4D4-6769-4E0C-A068-32C1401DEE6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DF7F94"/>
    <w:rsid w:val="00026C99"/>
    <w:rsid w:val="00490954"/>
    <w:rsid w:val="00491B3B"/>
    <w:rsid w:val="005037D2"/>
    <w:rsid w:val="00504D63"/>
    <w:rsid w:val="007E41B9"/>
    <w:rsid w:val="009C0666"/>
    <w:rsid w:val="00C53AD7"/>
    <w:rsid w:val="01642556"/>
    <w:rsid w:val="01BE3C71"/>
    <w:rsid w:val="0721282E"/>
    <w:rsid w:val="0DCB34F3"/>
    <w:rsid w:val="121E0096"/>
    <w:rsid w:val="1ABC48F0"/>
    <w:rsid w:val="201725C8"/>
    <w:rsid w:val="27710810"/>
    <w:rsid w:val="2A263B34"/>
    <w:rsid w:val="2E415B63"/>
    <w:rsid w:val="30313232"/>
    <w:rsid w:val="39663F4D"/>
    <w:rsid w:val="3C7B7D0F"/>
    <w:rsid w:val="3D4C5207"/>
    <w:rsid w:val="3DF336BB"/>
    <w:rsid w:val="49566508"/>
    <w:rsid w:val="4A9F106C"/>
    <w:rsid w:val="4AF60EA8"/>
    <w:rsid w:val="4EE80B08"/>
    <w:rsid w:val="539C35BF"/>
    <w:rsid w:val="579C2F9D"/>
    <w:rsid w:val="58A12453"/>
    <w:rsid w:val="5A3D3803"/>
    <w:rsid w:val="5E761B8C"/>
    <w:rsid w:val="5EF91CE1"/>
    <w:rsid w:val="5FBDBE53"/>
    <w:rsid w:val="5FF8EA06"/>
    <w:rsid w:val="6FAAA6A6"/>
    <w:rsid w:val="6FCA8D7D"/>
    <w:rsid w:val="727D5888"/>
    <w:rsid w:val="733C129F"/>
    <w:rsid w:val="73A42DC3"/>
    <w:rsid w:val="76DB0D15"/>
    <w:rsid w:val="76DC1CC7"/>
    <w:rsid w:val="777728A5"/>
    <w:rsid w:val="7A083D2D"/>
    <w:rsid w:val="7B014FB4"/>
    <w:rsid w:val="7D5F7376"/>
    <w:rsid w:val="7DBEC061"/>
    <w:rsid w:val="7F8A1D52"/>
    <w:rsid w:val="7FFFA032"/>
    <w:rsid w:val="8B7FF7D4"/>
    <w:rsid w:val="8F130ED4"/>
    <w:rsid w:val="97DF954F"/>
    <w:rsid w:val="B3EF5BFA"/>
    <w:rsid w:val="DBF9A04E"/>
    <w:rsid w:val="EFBF6690"/>
    <w:rsid w:val="F7EF9A73"/>
    <w:rsid w:val="FC7FAE11"/>
    <w:rsid w:val="FDEF98E0"/>
    <w:rsid w:val="FEDF7F94"/>
    <w:rsid w:val="FFDF2710"/>
    <w:rsid w:val="FFFFD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font5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1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0">
    <w:name w:val="font01"/>
    <w:basedOn w:val="7"/>
    <w:qFormat/>
    <w:uiPriority w:val="0"/>
    <w:rPr>
      <w:rFonts w:ascii="方正书宋_GBK" w:hAnsi="方正书宋_GBK" w:eastAsia="方正书宋_GBK" w:cs="方正书宋_GBK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ascii="微软雅黑" w:hAnsi="微软雅黑" w:eastAsia="微软雅黑" w:cs="微软雅黑"/>
      <w:color w:val="000000"/>
      <w:sz w:val="24"/>
      <w:szCs w:val="24"/>
      <w:u w:val="none"/>
    </w:rPr>
  </w:style>
  <w:style w:type="character" w:customStyle="1" w:styleId="12">
    <w:name w:val="页眉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1217</Words>
  <Characters>1259</Characters>
  <Lines>18</Lines>
  <Paragraphs>5</Paragraphs>
  <TotalTime>8</TotalTime>
  <ScaleCrop>false</ScaleCrop>
  <LinksUpToDate>false</LinksUpToDate>
  <CharactersWithSpaces>1297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2022-05-25T10:04:00Z</dcterms:created>
  <dc:creator>leihui</dc:creator>
  <cp:lastModifiedBy>Lenovo</cp:lastModifiedBy>
  <dcterms:modified xsi:type="dcterms:W3CDTF">2025-06-25T09:01:49Z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eyJoZGlkIjoiZmE3ZTBkMDU1NGEzNGYzNDQ5NmYzZGM3NzI4ODZhZGQiLCJ1c2VySWQiOiIyMTE1OTMzMjYifQ==</vt:lpwstr>
  </property>
  <property fmtid="{D5CDD505-2E9C-101B-9397-08002B2CF9AE}" pid="4" name="ICV">
    <vt:lpwstr>794E65A9830B4CA9891FE84B9CA5150D_12</vt:lpwstr>
  </property>
</Properties>
</file>