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附件1</w:t>
      </w:r>
    </w:p>
    <w:p>
      <w:pPr>
        <w:spacing w:line="500" w:lineRule="exact"/>
        <w:ind w:firstLine="0" w:firstLineChars="0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spacing w:line="500" w:lineRule="exact"/>
        <w:ind w:firstLine="199" w:firstLineChars="66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asciiTheme="minorEastAsia" w:hAnsiTheme="minorEastAsia" w:eastAsiaTheme="minorEastAsia"/>
          <w:b/>
          <w:sz w:val="30"/>
          <w:szCs w:val="30"/>
        </w:rPr>
        <w:t>桂林电子科技大学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第三届市场调查与分析大赛</w:t>
      </w:r>
    </w:p>
    <w:p>
      <w:pPr>
        <w:spacing w:line="500" w:lineRule="exact"/>
        <w:ind w:firstLine="199" w:firstLineChars="66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asciiTheme="minorEastAsia" w:hAnsiTheme="minorEastAsia" w:eastAsiaTheme="minorEastAsia"/>
          <w:b/>
          <w:sz w:val="30"/>
          <w:szCs w:val="30"/>
        </w:rPr>
        <w:t>各学院联系人信息表</w:t>
      </w:r>
    </w:p>
    <w:tbl>
      <w:tblPr>
        <w:tblStyle w:val="3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546"/>
        <w:gridCol w:w="2509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0"/>
              <w:jc w:val="both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学院</w:t>
            </w: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竞赛</w:t>
            </w:r>
            <w:r>
              <w:rPr>
                <w:rFonts w:asciiTheme="minorEastAsia" w:hAnsiTheme="minorEastAsia" w:eastAsiaTheme="minorEastAsia"/>
                <w:bCs/>
                <w:sz w:val="32"/>
                <w:szCs w:val="32"/>
              </w:rPr>
              <w:t>联系人</w:t>
            </w: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姓名</w:t>
            </w: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竞赛</w:t>
            </w:r>
            <w:r>
              <w:rPr>
                <w:rFonts w:asciiTheme="minorEastAsia" w:hAnsiTheme="minorEastAsia" w:eastAsiaTheme="minorEastAsia"/>
                <w:bCs/>
                <w:sz w:val="32"/>
                <w:szCs w:val="32"/>
              </w:rPr>
              <w:t>联系人电话</w:t>
            </w: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91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46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09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404" w:type="dxa"/>
            <w:vAlign w:val="center"/>
          </w:tcPr>
          <w:p>
            <w:pPr>
              <w:spacing w:line="500" w:lineRule="exact"/>
              <w:ind w:firstLine="643"/>
              <w:jc w:val="center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</w:tbl>
    <w:p>
      <w:pPr>
        <w:spacing w:line="500" w:lineRule="exact"/>
        <w:ind w:firstLine="643"/>
        <w:rPr>
          <w:rFonts w:cs="仿宋_GB2312" w:asciiTheme="minorEastAsia" w:hAnsiTheme="minorEastAsia" w:eastAsiaTheme="minorEastAsia"/>
          <w:b/>
          <w:sz w:val="32"/>
          <w:szCs w:val="32"/>
        </w:rPr>
      </w:pPr>
    </w:p>
    <w:p>
      <w:pPr>
        <w:widowControl/>
        <w:ind w:firstLine="0" w:firstLineChars="0"/>
        <w:jc w:val="left"/>
        <w:rPr>
          <w:rFonts w:cs="仿宋_GB2312" w:asciiTheme="minorEastAsia" w:hAnsiTheme="minorEastAsia" w:eastAsiaTheme="minorEastAsia"/>
          <w:b/>
          <w:sz w:val="32"/>
          <w:szCs w:val="32"/>
        </w:rPr>
      </w:pPr>
      <w:r>
        <w:rPr>
          <w:rFonts w:cs="仿宋_GB2312" w:asciiTheme="minorEastAsia" w:hAnsiTheme="minorEastAsia" w:eastAsiaTheme="minorEastAsia"/>
          <w:b/>
          <w:sz w:val="32"/>
          <w:szCs w:val="32"/>
        </w:rPr>
        <w:br w:type="page"/>
      </w:r>
    </w:p>
    <w:p>
      <w:pPr>
        <w:spacing w:line="500" w:lineRule="exact"/>
        <w:ind w:firstLine="199" w:firstLineChars="62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附件2</w:t>
      </w:r>
    </w:p>
    <w:p>
      <w:pPr>
        <w:spacing w:line="500" w:lineRule="exact"/>
        <w:ind w:firstLine="199" w:firstLineChars="62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after="290" w:afterLines="100" w:line="586" w:lineRule="exact"/>
        <w:ind w:firstLine="0" w:firstLineChars="0"/>
        <w:jc w:val="center"/>
        <w:rPr>
          <w:rFonts w:cs="ETAFFC+FZXBSK--GBK1-0" w:asciiTheme="minorEastAsia" w:hAnsiTheme="minorEastAsia" w:eastAsiaTheme="minorEastAsia"/>
          <w:b/>
          <w:sz w:val="36"/>
        </w:rPr>
      </w:pPr>
      <w:r>
        <w:rPr>
          <w:rFonts w:cs="ETAFFC+FZXBSK--GBK1-0" w:asciiTheme="minorEastAsia" w:hAnsiTheme="minorEastAsia" w:eastAsiaTheme="minorEastAsia"/>
          <w:b/>
          <w:spacing w:val="-1"/>
          <w:sz w:val="36"/>
        </w:rPr>
        <w:t>桂林电子科技大学</w:t>
      </w:r>
      <w:r>
        <w:rPr>
          <w:rFonts w:hint="eastAsia" w:cs="ETAFFC+FZXBSK--GBK1-0" w:asciiTheme="minorEastAsia" w:hAnsiTheme="minorEastAsia" w:eastAsiaTheme="minorEastAsia"/>
          <w:b/>
          <w:sz w:val="36"/>
        </w:rPr>
        <w:t>第三届市场调查与分析大赛</w:t>
      </w:r>
    </w:p>
    <w:p>
      <w:pPr>
        <w:autoSpaceDE w:val="0"/>
        <w:autoSpaceDN w:val="0"/>
        <w:adjustRightInd w:val="0"/>
        <w:snapToGrid w:val="0"/>
        <w:spacing w:after="290" w:afterLines="100" w:line="586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</w:rPr>
      </w:pPr>
      <w:r>
        <w:rPr>
          <w:rFonts w:cs="ETAFFC+FZXBSK--GBK1-0" w:asciiTheme="minorEastAsia" w:hAnsiTheme="minorEastAsia" w:eastAsiaTheme="minorEastAsia"/>
          <w:b/>
          <w:sz w:val="36"/>
        </w:rPr>
        <w:t>最佳组织单位奖评选办法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结合我校实际情况，鼓励我校各学院积极组织参加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赛，特制定本办法。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一、评选范围</w:t>
      </w:r>
    </w:p>
    <w:p>
      <w:pPr>
        <w:ind w:firstLine="64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参加此次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赛的学院，数学与计算科学学院不参评</w:t>
      </w:r>
      <w:r>
        <w:rPr>
          <w:rFonts w:asciiTheme="minorEastAsia" w:hAnsiTheme="minorEastAsia" w:eastAsiaTheme="minorEastAsia"/>
          <w:b/>
          <w:sz w:val="32"/>
          <w:szCs w:val="32"/>
        </w:rPr>
        <w:t>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二、评选条件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1.学院组织工作到位，有专人负责，积极配合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赛组委会开展工作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。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2.所在学院成功参赛学生人数多，执行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赛章程好，无违规现象，获奖率高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三、评选指标及计算公式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指标点</w:t>
            </w:r>
          </w:p>
        </w:tc>
        <w:tc>
          <w:tcPr>
            <w:tcW w:w="6798" w:type="dxa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计算公式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组织报名X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798" w:type="dxa"/>
          </w:tcPr>
          <w:p>
            <w:pPr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宋体" w:eastAsiaTheme="minorEastAsia"/>
                    <w:spacing w:val="1"/>
                    <w:sz w:val="21"/>
                    <w:szCs w:val="21"/>
                  </w:rPr>
                  <m:t>组织报名分</m:t>
                </m:r>
                <m:r>
                  <m:rPr>
                    <m:sty m:val="p"/>
                  </m:rPr>
                  <w:rPr>
                    <w:rFonts w:hint="eastAsia" w:ascii="Cambria Math" w:hAnsi="Cambria Math" w:cs="宋体" w:eastAsiaTheme="minorEastAsia"/>
                    <w:spacing w:val="1"/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组织报名学生数</m:t>
                    </m: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学生总人数（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除大四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，以教务系统为准）</m:t>
                    </m: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cs="宋体" w:eastAsiaTheme="minorEastAsia"/>
                    <w:spacing w:val="1"/>
                    <w:sz w:val="21"/>
                    <w:szCs w:val="21"/>
                  </w:rPr>
                  <m:t>30%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大赛报告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提交X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798" w:type="dxa"/>
          </w:tcPr>
          <w:p>
            <w:pPr>
              <w:ind w:firstLine="420"/>
              <w:rPr>
                <w:rFonts w:asciiTheme="minorEastAsia" w:hAnsiTheme="minorEastAsia" w:eastAsiaTheme="minorEastAsia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Theme="minorEastAsia"/>
                    <w:sz w:val="21"/>
                    <w:szCs w:val="21"/>
                  </w:rPr>
                  <m:t>竞赛论文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提交分=</m:t>
                </m:r>
                <m:f>
                  <m:fP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大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赛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报告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提交学生数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Theme="minorEastAsia"/>
                    <w:sz w:val="21"/>
                    <w:szCs w:val="21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大赛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获奖X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798" w:type="dxa"/>
          </w:tcPr>
          <w:p>
            <w:pPr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Theme="minorEastAsia"/>
                    <w:sz w:val="21"/>
                    <w:szCs w:val="21"/>
                  </w:rPr>
                  <m:t>竞赛获奖分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大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赛获奖学生数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Theme="minorEastAsia"/>
                    <w:sz w:val="21"/>
                    <w:szCs w:val="21"/>
                  </w:rPr>
                  <m:t>40%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总分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6798" w:type="dxa"/>
            <w:vAlign w:val="center"/>
          </w:tcPr>
          <w:p>
            <w:pPr>
              <w:autoSpaceDE w:val="0"/>
              <w:autoSpaceDN w:val="0"/>
              <w:spacing w:line="300" w:lineRule="exact"/>
              <w:ind w:firstLine="692"/>
              <w:jc w:val="center"/>
              <w:rPr>
                <w:rFonts w:asciiTheme="minorEastAsia" w:hAnsiTheme="minorEastAsia" w:eastAsiaTheme="minorEastAsia"/>
                <w:sz w:val="30"/>
                <w:vertAlign w:val="subscript"/>
              </w:rPr>
            </w:pPr>
            <w:r>
              <w:rPr>
                <w:rFonts w:asciiTheme="minorEastAsia" w:hAnsiTheme="minorEastAsia" w:eastAsiaTheme="minorEastAsia"/>
                <w:spacing w:val="23"/>
                <w:sz w:val="30"/>
              </w:rPr>
              <w:t>X=X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1</w:t>
            </w:r>
            <w:r>
              <w:rPr>
                <w:rFonts w:asciiTheme="minorEastAsia" w:hAnsiTheme="minorEastAsia" w:eastAsiaTheme="minorEastAsia"/>
                <w:spacing w:val="23"/>
                <w:sz w:val="30"/>
              </w:rPr>
              <w:t>+X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2</w:t>
            </w:r>
            <w:r>
              <w:rPr>
                <w:rFonts w:asciiTheme="minorEastAsia" w:hAnsiTheme="minorEastAsia" w:eastAsiaTheme="minorEastAsia"/>
                <w:spacing w:val="23"/>
                <w:sz w:val="30"/>
              </w:rPr>
              <w:t>+X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3</w:t>
            </w:r>
          </w:p>
        </w:tc>
      </w:tr>
    </w:tbl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四、评选办法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 xml:space="preserve">凡符合评选条件的学院均可参加评选最佳组织单位奖，按各学院总分高低评选 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1</w:t>
      </w:r>
      <w:r>
        <w:rPr>
          <w:rFonts w:asciiTheme="minorEastAsia" w:hAnsiTheme="minorEastAsia" w:eastAsiaTheme="minorEastAsia"/>
          <w:bCs/>
          <w:sz w:val="32"/>
          <w:szCs w:val="32"/>
        </w:rPr>
        <w:t xml:space="preserve"> 个最佳组织单位奖。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五、未尽事宜由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大</w:t>
      </w:r>
      <w:r>
        <w:rPr>
          <w:rFonts w:asciiTheme="minorEastAsia" w:hAnsiTheme="minorEastAsia" w:eastAsiaTheme="minorEastAsia"/>
          <w:b/>
          <w:sz w:val="32"/>
          <w:szCs w:val="32"/>
        </w:rPr>
        <w:t>赛组委会讨论决定。</w:t>
      </w: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widowControl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eastAsiaTheme="minorEastAsia"/>
          <w:b/>
          <w:sz w:val="32"/>
          <w:szCs w:val="32"/>
        </w:rPr>
        <w:br w:type="page"/>
      </w:r>
      <w:r>
        <w:rPr>
          <w:rFonts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</w:rPr>
        <w:t>3</w:t>
      </w:r>
    </w:p>
    <w:p>
      <w:pPr>
        <w:autoSpaceDE w:val="0"/>
        <w:autoSpaceDN w:val="0"/>
        <w:adjustRightInd w:val="0"/>
        <w:snapToGrid w:val="0"/>
        <w:spacing w:after="72" w:afterLines="25"/>
        <w:ind w:firstLine="0" w:firstLineChars="0"/>
        <w:jc w:val="center"/>
        <w:rPr>
          <w:rFonts w:ascii="ETAFFC+FZXBSK--GBK1-0" w:hAnsi="ETAFFC+FZXBSK--GBK1-0" w:cs="ETAFFC+FZXBSK--GBK1-0"/>
          <w:b/>
          <w:spacing w:val="-1"/>
          <w:sz w:val="36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第三届市场调查与分析大赛调查报</w:t>
      </w:r>
    </w:p>
    <w:p>
      <w:pPr>
        <w:autoSpaceDE w:val="0"/>
        <w:autoSpaceDN w:val="0"/>
        <w:adjustRightInd w:val="0"/>
        <w:snapToGrid w:val="0"/>
        <w:spacing w:after="72" w:afterLines="25"/>
        <w:ind w:firstLine="0" w:firstLineChars="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告及答辩评分</w:t>
      </w:r>
      <w:r>
        <w:rPr>
          <w:rFonts w:ascii="ETAFFC+FZXBSK--GBK1-0" w:hAnsi="ETAFFC+FZXBSK--GBK1-0" w:cs="ETAFFC+FZXBSK--GBK1-0"/>
          <w:b/>
          <w:spacing w:val="-1"/>
          <w:sz w:val="36"/>
        </w:rPr>
        <w:t>表</w:t>
      </w:r>
    </w:p>
    <w:tbl>
      <w:tblPr>
        <w:tblStyle w:val="2"/>
        <w:tblpPr w:leftFromText="180" w:rightFromText="180" w:vertAnchor="text" w:horzAnchor="margin" w:tblpXSpec="center" w:tblpY="21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789"/>
        <w:gridCol w:w="2575"/>
        <w:gridCol w:w="168"/>
        <w:gridCol w:w="1816"/>
        <w:gridCol w:w="84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hint="eastAsia" w:ascii="Times New Roman" w:hAnsi="Times New Roman" w:eastAsia="微软雅黑"/>
                <w:b/>
                <w:bCs/>
                <w:kern w:val="0"/>
              </w:rPr>
              <w:t>报告评审打分表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575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969" w:type="dxa"/>
            <w:gridSpan w:val="4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分项得分 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研究选题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选题新颖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结合实际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文献研究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理论综述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文案研究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方案设计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调查方案设计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样本代表性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问卷或其他技术设计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调查实施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调查组织科学合理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调查过程执行完整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数据处理严谨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调查质量控制严格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分析与结论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选择方法正确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数据运用充分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分析支持结论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结论实用性/适用性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报告文本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完整性和阐述充分性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格式规范性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文字表述清晰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36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 告 合 计 </w:t>
            </w: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ascii="Times New Roman" w:hAnsi="Times New Roman" w:eastAsia="微软雅黑"/>
                <w:b/>
                <w:bCs/>
                <w:kern w:val="0"/>
              </w:rPr>
              <w:t>线上实时答辩评审打分表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743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801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项得分 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展示文件水平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陈述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逻辑性强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语言简炼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口齿清楚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答辩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回答正确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思路清晰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532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展 示 答 辩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合 计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</w:tbl>
    <w:p>
      <w:pPr>
        <w:ind w:firstLine="0" w:firstLineChars="0"/>
        <w:jc w:val="center"/>
        <w:rPr>
          <w:rFonts w:ascii="Calibri" w:hAnsi="Calibri"/>
        </w:rPr>
      </w:pPr>
      <w:r>
        <w:rPr>
          <w:rFonts w:ascii="Times New Roman" w:hAnsi="Times New Roman" w:eastAsia="微软雅黑"/>
          <w:b/>
          <w:bCs/>
          <w:kern w:val="0"/>
        </w:rPr>
        <w:t>线</w:t>
      </w:r>
      <w:r>
        <w:rPr>
          <w:rFonts w:hint="eastAsia" w:ascii="Times New Roman" w:hAnsi="Times New Roman" w:eastAsia="微软雅黑"/>
          <w:b/>
          <w:bCs/>
          <w:kern w:val="0"/>
        </w:rPr>
        <w:t>下</w:t>
      </w:r>
      <w:r>
        <w:rPr>
          <w:rFonts w:ascii="Times New Roman" w:hAnsi="Times New Roman" w:eastAsia="微软雅黑"/>
          <w:b/>
          <w:bCs/>
          <w:kern w:val="0"/>
        </w:rPr>
        <w:t>答辩评审打分表</w:t>
      </w:r>
    </w:p>
    <w:tbl>
      <w:tblPr>
        <w:tblStyle w:val="2"/>
        <w:tblW w:w="943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9"/>
        <w:gridCol w:w="1527"/>
        <w:gridCol w:w="38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32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本科组线下展示答辩打分表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项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满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 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展示文件水平 （15分）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逻辑性强 （15分）</w:t>
            </w:r>
          </w:p>
        </w:tc>
        <w:tc>
          <w:tcPr>
            <w:tcW w:w="1527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3896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语言简炼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口齿清楚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回答正确 （15分）</w:t>
            </w:r>
          </w:p>
        </w:tc>
        <w:tc>
          <w:tcPr>
            <w:tcW w:w="1527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3896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思路清晰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仪态大方 （10分）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 xml:space="preserve">答 辩 分合 计 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ETAFFC+FZXB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HVJSQ+FZFSK--GBK1-0">
    <w:altName w:val="Segoe Print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6D46C9"/>
    <w:rsid w:val="2FBD0682"/>
    <w:rsid w:val="376D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2022-03-14T01:21:00Z</dcterms:created>
  <dc:creator>大以巴蓝</dc:creator>
  <cp:lastModifiedBy>大以巴蓝</cp:lastModifiedBy>
  <dcterms:modified xsi:type="dcterms:W3CDTF">2022-03-14T01:41:03Z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5DAE5F3DDFA544BBAACD43814A437F74</vt:lpwstr>
  </property>
</Properties>
</file>