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1D4D6">
      <w:pPr>
        <w:pStyle w:val="2"/>
        <w:widowControl/>
        <w:spacing w:beforeAutospacing="0" w:afterAutospacing="0" w:line="240" w:lineRule="auto"/>
        <w:ind w:firstLine="0" w:firstLineChars="0"/>
        <w:jc w:val="center"/>
        <w:rPr>
          <w:rFonts w:eastAsia="黑体"/>
          <w:b w:val="0"/>
          <w:sz w:val="36"/>
          <w:szCs w:val="12"/>
        </w:rPr>
      </w:pPr>
      <w:bookmarkStart w:id="0" w:name="_GoBack"/>
      <w:bookmarkEnd w:id="0"/>
      <w:r>
        <w:rPr>
          <w:rFonts w:eastAsia="黑体"/>
          <w:b w:val="0"/>
          <w:sz w:val="36"/>
          <w:szCs w:val="12"/>
        </w:rPr>
        <w:t>广西高校智能综合自动化重点实验室</w:t>
      </w:r>
    </w:p>
    <w:p w14:paraId="3E0EBCDB">
      <w:pPr>
        <w:pStyle w:val="2"/>
        <w:widowControl/>
        <w:spacing w:beforeAutospacing="0" w:afterAutospacing="0" w:line="240" w:lineRule="auto"/>
        <w:ind w:firstLine="0" w:firstLineChars="0"/>
        <w:jc w:val="center"/>
        <w:rPr>
          <w:rFonts w:eastAsia="黑体"/>
          <w:b w:val="0"/>
          <w:sz w:val="36"/>
          <w:szCs w:val="12"/>
        </w:rPr>
      </w:pPr>
      <w:r>
        <w:rPr>
          <w:rFonts w:eastAsia="黑体"/>
          <w:b w:val="0"/>
          <w:sz w:val="36"/>
          <w:szCs w:val="12"/>
        </w:rPr>
        <w:t>基金项目管理办法</w:t>
      </w:r>
    </w:p>
    <w:p w14:paraId="566FF05A">
      <w:pPr>
        <w:pStyle w:val="3"/>
        <w:widowControl/>
        <w:spacing w:beforeAutospacing="0" w:afterAutospacing="0" w:line="240" w:lineRule="auto"/>
        <w:ind w:firstLine="562"/>
        <w:jc w:val="both"/>
        <w:rPr>
          <w:sz w:val="28"/>
          <w:szCs w:val="12"/>
        </w:rPr>
      </w:pPr>
      <w:r>
        <w:rPr>
          <w:sz w:val="28"/>
          <w:szCs w:val="12"/>
        </w:rPr>
        <w:t>一、总则</w:t>
      </w:r>
    </w:p>
    <w:p w14:paraId="1F64A1E3">
      <w:pPr>
        <w:widowControl/>
        <w:spacing w:after="120" w:line="360" w:lineRule="auto"/>
        <w:ind w:firstLine="48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>广西高校智能综合自动化重点实验室依托桂林电子科技大学建设，面向区内外开放共享。实验室以</w:t>
      </w:r>
      <w:r>
        <w:rPr>
          <w:rStyle w:val="8"/>
          <w:rFonts w:ascii="宋体" w:hAnsi="宋体" w:cs="宋体"/>
          <w:b w:val="0"/>
          <w:bCs/>
          <w:kern w:val="0"/>
          <w:szCs w:val="12"/>
          <w:lang w:bidi="ar"/>
        </w:rPr>
        <w:t>控制科学与工程</w:t>
      </w:r>
      <w:r>
        <w:rPr>
          <w:rFonts w:ascii="宋体" w:hAnsi="宋体" w:cs="宋体"/>
          <w:kern w:val="0"/>
          <w:szCs w:val="12"/>
          <w:lang w:bidi="ar"/>
        </w:rPr>
        <w:t>为核心支撑，具备</w:t>
      </w:r>
      <w:r>
        <w:rPr>
          <w:rStyle w:val="8"/>
          <w:rFonts w:ascii="宋体" w:hAnsi="宋体" w:cs="宋体"/>
          <w:b w:val="0"/>
          <w:bCs/>
          <w:kern w:val="0"/>
          <w:szCs w:val="12"/>
          <w:lang w:bidi="ar"/>
        </w:rPr>
        <w:t>机、电、控、信、仪</w:t>
      </w:r>
      <w:r>
        <w:rPr>
          <w:rFonts w:ascii="宋体" w:hAnsi="宋体" w:cs="宋体"/>
          <w:kern w:val="0"/>
          <w:szCs w:val="12"/>
          <w:lang w:bidi="ar"/>
        </w:rPr>
        <w:t>多学科交叉优势，秉承“求实、创新、协作、引领”的科研理念，围绕</w:t>
      </w:r>
      <w:r>
        <w:rPr>
          <w:rStyle w:val="8"/>
          <w:rFonts w:ascii="宋体" w:hAnsi="宋体" w:cs="宋体"/>
          <w:kern w:val="0"/>
          <w:szCs w:val="12"/>
          <w:lang w:bidi="ar"/>
        </w:rPr>
        <w:t>非线性系统建模与智能控制、模式识别与智能机器人控制、自动化检测系统与智能装备</w:t>
      </w:r>
      <w:r>
        <w:rPr>
          <w:rFonts w:ascii="宋体" w:hAnsi="宋体" w:cs="宋体"/>
          <w:kern w:val="0"/>
          <w:szCs w:val="12"/>
          <w:lang w:bidi="ar"/>
        </w:rPr>
        <w:t>三大方向开展关键技术、基础前沿与工程应用研究，支撑自动化国家一流本科专业与智能装备与系统新工科专业建设，推动科研成果转化，凝聚高水平研究队伍，促进学科高质量发展与地方产业技术升级。</w:t>
      </w:r>
    </w:p>
    <w:p w14:paraId="72A3383C">
      <w:pPr>
        <w:widowControl/>
        <w:spacing w:line="240" w:lineRule="auto"/>
        <w:ind w:firstLine="562"/>
        <w:outlineLvl w:val="1"/>
        <w:rPr>
          <w:rFonts w:hint="eastAsia" w:ascii="宋体" w:hAnsi="宋体" w:cs="宋体"/>
          <w:b/>
          <w:bCs/>
          <w:kern w:val="0"/>
          <w:sz w:val="28"/>
          <w:szCs w:val="12"/>
          <w:lang w:bidi="ar"/>
        </w:rPr>
      </w:pPr>
      <w:r>
        <w:rPr>
          <w:rFonts w:hint="eastAsia" w:ascii="宋体" w:hAnsi="宋体" w:cs="宋体"/>
          <w:b/>
          <w:bCs/>
          <w:kern w:val="0"/>
          <w:sz w:val="28"/>
          <w:szCs w:val="12"/>
          <w:lang w:bidi="ar"/>
        </w:rPr>
        <w:t>二、资助范围与申请条件</w:t>
      </w:r>
    </w:p>
    <w:p w14:paraId="7AB14D87">
      <w:pPr>
        <w:widowControl/>
        <w:numPr>
          <w:ilvl w:val="0"/>
          <w:numId w:val="1"/>
        </w:numPr>
        <w:spacing w:after="120" w:line="360" w:lineRule="auto"/>
        <w:ind w:left="0" w:firstLine="48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>申请人为具有中级及以上职称或硕士及以上学位的区内外科研人员，在自动化、</w:t>
      </w:r>
      <w:r>
        <w:rPr>
          <w:rFonts w:hint="eastAsia" w:ascii="宋体" w:hAnsi="宋体" w:cs="宋体"/>
          <w:kern w:val="0"/>
          <w:szCs w:val="12"/>
          <w:lang w:bidi="ar"/>
        </w:rPr>
        <w:t>测控技术</w:t>
      </w:r>
      <w:r>
        <w:rPr>
          <w:rFonts w:ascii="宋体" w:hAnsi="宋体" w:cs="宋体"/>
          <w:kern w:val="0"/>
          <w:szCs w:val="12"/>
          <w:lang w:bidi="ar"/>
        </w:rPr>
        <w:t>、</w:t>
      </w:r>
      <w:r>
        <w:rPr>
          <w:rFonts w:hint="eastAsia" w:ascii="宋体" w:hAnsi="宋体" w:cs="宋体"/>
          <w:kern w:val="0"/>
          <w:szCs w:val="12"/>
          <w:lang w:bidi="ar"/>
        </w:rPr>
        <w:t>人工智能、</w:t>
      </w:r>
      <w:r>
        <w:rPr>
          <w:rFonts w:ascii="宋体" w:hAnsi="宋体" w:cs="宋体"/>
          <w:kern w:val="0"/>
          <w:szCs w:val="12"/>
          <w:lang w:bidi="ar"/>
        </w:rPr>
        <w:t>机器人、智能装备等相关领域具有一定研究基础，能组建稳定科研队伍保障项目顺利实施。同年度每位课题负责人仅限申报1项实验室基金项目，已承担本实验室基金项目且未结题的负责人不得申报。</w:t>
      </w:r>
    </w:p>
    <w:p w14:paraId="7EF83E6F">
      <w:pPr>
        <w:widowControl/>
        <w:numPr>
          <w:ilvl w:val="0"/>
          <w:numId w:val="1"/>
        </w:numPr>
        <w:spacing w:after="120" w:line="360" w:lineRule="auto"/>
        <w:ind w:left="0" w:firstLine="48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 xml:space="preserve"> 主任基金申报对象限桂林电子科技大学在岗科研人员；开放课题申报对象为桂林电子科技大学以外的高校、科研院所、企业科研人员。</w:t>
      </w:r>
    </w:p>
    <w:p w14:paraId="1480150C">
      <w:pPr>
        <w:widowControl/>
        <w:numPr>
          <w:ilvl w:val="0"/>
          <w:numId w:val="1"/>
        </w:numPr>
        <w:spacing w:after="120" w:line="360" w:lineRule="auto"/>
        <w:ind w:left="0" w:firstLine="48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>申报课题必须紧扣实验室重点资助方向，具备明确的科学问题或工程技术问题，学术思想新颖、研究内容聚焦、技术路线可行、考核指标具体可量化，鼓励产学研协同与多学科交叉创新。</w:t>
      </w:r>
    </w:p>
    <w:p w14:paraId="10B4366B">
      <w:pPr>
        <w:widowControl/>
        <w:spacing w:line="240" w:lineRule="auto"/>
        <w:ind w:firstLine="562"/>
        <w:outlineLvl w:val="1"/>
        <w:rPr>
          <w:rFonts w:hint="eastAsia" w:ascii="宋体" w:hAnsi="宋体" w:cs="宋体"/>
          <w:b/>
          <w:bCs/>
          <w:kern w:val="0"/>
          <w:sz w:val="28"/>
          <w:szCs w:val="12"/>
          <w:lang w:bidi="ar"/>
        </w:rPr>
      </w:pPr>
      <w:r>
        <w:rPr>
          <w:rFonts w:hint="eastAsia" w:ascii="宋体" w:hAnsi="宋体" w:cs="宋体"/>
          <w:b/>
          <w:bCs/>
          <w:kern w:val="0"/>
          <w:sz w:val="28"/>
          <w:szCs w:val="12"/>
          <w:lang w:bidi="ar"/>
        </w:rPr>
        <w:t>三、申请与评审</w:t>
      </w:r>
    </w:p>
    <w:p w14:paraId="6C985E2A">
      <w:pPr>
        <w:widowControl/>
        <w:numPr>
          <w:ilvl w:val="0"/>
          <w:numId w:val="2"/>
        </w:numPr>
        <w:spacing w:after="120" w:line="360" w:lineRule="auto"/>
        <w:ind w:left="0" w:firstLine="48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>申请人按实验室统一格式规范填写《课题申请书》，如实填报研究内容、考核指标、经费预算，经所在单位科研管理部门审核并加盖单位公章。</w:t>
      </w:r>
    </w:p>
    <w:p w14:paraId="2C617369">
      <w:pPr>
        <w:widowControl/>
        <w:numPr>
          <w:ilvl w:val="0"/>
          <w:numId w:val="2"/>
        </w:numPr>
        <w:spacing w:after="120" w:line="360" w:lineRule="auto"/>
        <w:ind w:left="0" w:firstLine="48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 xml:space="preserve">项目申报需提交电子版申请书（PDF）与纸质申请书原件（一式 </w:t>
      </w:r>
      <w:r>
        <w:rPr>
          <w:rFonts w:hint="eastAsia" w:ascii="宋体" w:hAnsi="宋体" w:cs="宋体"/>
          <w:kern w:val="0"/>
          <w:szCs w:val="12"/>
          <w:lang w:bidi="ar"/>
        </w:rPr>
        <w:t>3</w:t>
      </w:r>
      <w:r>
        <w:rPr>
          <w:rFonts w:ascii="宋体" w:hAnsi="宋体" w:cs="宋体"/>
          <w:kern w:val="0"/>
          <w:szCs w:val="12"/>
          <w:lang w:bidi="ar"/>
        </w:rPr>
        <w:t>份），电子版与纸质版内容必须完全一致。</w:t>
      </w:r>
    </w:p>
    <w:p w14:paraId="31954A41">
      <w:pPr>
        <w:widowControl/>
        <w:numPr>
          <w:ilvl w:val="0"/>
          <w:numId w:val="2"/>
        </w:numPr>
        <w:spacing w:after="120" w:line="360" w:lineRule="auto"/>
        <w:ind w:left="0" w:firstLine="48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>实验室坚持“公平公正、择优资助、侧重创新”原则，由实验室学术委员会对申报项目进行统一评审，综合评审意见确定立项清单、资助额度与研究周期。</w:t>
      </w:r>
    </w:p>
    <w:p w14:paraId="474E618D">
      <w:pPr>
        <w:widowControl/>
        <w:spacing w:line="240" w:lineRule="auto"/>
        <w:ind w:firstLine="562"/>
        <w:outlineLvl w:val="1"/>
        <w:rPr>
          <w:rFonts w:hint="eastAsia" w:ascii="宋体" w:hAnsi="宋体" w:cs="宋体"/>
          <w:b/>
          <w:bCs/>
          <w:kern w:val="0"/>
          <w:sz w:val="28"/>
          <w:szCs w:val="12"/>
          <w:lang w:bidi="ar"/>
        </w:rPr>
      </w:pPr>
      <w:r>
        <w:rPr>
          <w:rFonts w:hint="eastAsia" w:ascii="宋体" w:hAnsi="宋体" w:cs="宋体"/>
          <w:b/>
          <w:bCs/>
          <w:kern w:val="0"/>
          <w:sz w:val="28"/>
          <w:szCs w:val="12"/>
          <w:lang w:bidi="ar"/>
        </w:rPr>
        <w:t>四、实施与过程管理</w:t>
      </w:r>
    </w:p>
    <w:p w14:paraId="25013212">
      <w:pPr>
        <w:widowControl/>
        <w:numPr>
          <w:ilvl w:val="0"/>
          <w:numId w:val="3"/>
        </w:numPr>
        <w:spacing w:after="120" w:line="360" w:lineRule="auto"/>
        <w:ind w:left="0" w:firstLine="48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>拟资助项目经实验室主任与学术委员会主任签字审批后，正式公示并通知申请人。</w:t>
      </w:r>
    </w:p>
    <w:p w14:paraId="39EA99D5">
      <w:pPr>
        <w:widowControl/>
        <w:numPr>
          <w:ilvl w:val="0"/>
          <w:numId w:val="3"/>
        </w:numPr>
        <w:spacing w:after="120" w:line="360" w:lineRule="auto"/>
        <w:ind w:left="0" w:firstLine="48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>获资助项目负责人须按要求在规定时限内签订《项目任务合同书》，报送实验室办公室备案，核准后下达经费。</w:t>
      </w:r>
    </w:p>
    <w:p w14:paraId="781C4A2E">
      <w:pPr>
        <w:widowControl/>
        <w:numPr>
          <w:ilvl w:val="0"/>
          <w:numId w:val="3"/>
        </w:numPr>
        <w:spacing w:after="120" w:line="360" w:lineRule="auto"/>
        <w:ind w:left="0" w:firstLine="48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>项目负责人全面负责项目组织实施，严格按照任务书开展研究，每年 12 月 20 日前向实验室提交年度研究进展报告，包括：年度执行情况、下一年度工作计划、成果与论著复印件等。</w:t>
      </w:r>
    </w:p>
    <w:p w14:paraId="7056C3B0">
      <w:pPr>
        <w:widowControl/>
        <w:numPr>
          <w:ilvl w:val="0"/>
          <w:numId w:val="3"/>
        </w:numPr>
        <w:spacing w:after="120" w:line="360" w:lineRule="auto"/>
        <w:ind w:left="0" w:firstLine="48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>项目执行过程中，不得擅自更改研究方向、考核指标与负责人。若因出国、调离、健康等原因无法正常推进，实验室有权中止或终止经费支持，并收回结余资金。</w:t>
      </w:r>
    </w:p>
    <w:p w14:paraId="4B9E363E">
      <w:pPr>
        <w:widowControl/>
        <w:numPr>
          <w:ilvl w:val="0"/>
          <w:numId w:val="3"/>
        </w:numPr>
        <w:spacing w:after="120" w:line="360" w:lineRule="auto"/>
        <w:ind w:left="0" w:firstLine="48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>由实验室资助形成的论文、专利、专著、软件著作权、成果转化等，必须将实验室列为署名单位，并规范标注资助信息。</w:t>
      </w:r>
    </w:p>
    <w:p w14:paraId="0F93B361">
      <w:pPr>
        <w:widowControl/>
        <w:spacing w:after="120" w:line="360" w:lineRule="auto"/>
        <w:ind w:left="480" w:leftChars="200" w:firstLine="0" w:firstLineChars="0"/>
        <w:rPr>
          <w:rFonts w:hint="eastAsia" w:ascii="宋体" w:hAnsi="宋体" w:cs="宋体"/>
          <w:kern w:val="0"/>
          <w:szCs w:val="12"/>
          <w:lang w:bidi="ar"/>
        </w:rPr>
      </w:pPr>
      <w:r>
        <w:rPr>
          <w:rFonts w:ascii="宋体" w:hAnsi="宋体" w:cs="宋体"/>
          <w:kern w:val="0"/>
          <w:szCs w:val="12"/>
          <w:lang w:bidi="ar"/>
        </w:rPr>
        <w:t>中文署名：广西高校智能综合自动化重点实验室</w:t>
      </w:r>
    </w:p>
    <w:p w14:paraId="30555553">
      <w:pPr>
        <w:widowControl/>
        <w:spacing w:after="120" w:line="360" w:lineRule="auto"/>
        <w:ind w:left="480" w:leftChars="200" w:firstLine="0" w:firstLineChars="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>英文署名：</w:t>
      </w:r>
      <w:r>
        <w:rPr>
          <w:rFonts w:hint="eastAsia" w:ascii="宋体" w:hAnsi="宋体" w:cs="宋体"/>
          <w:kern w:val="0"/>
          <w:szCs w:val="12"/>
          <w:lang w:bidi="ar"/>
        </w:rPr>
        <w:t>Key Laboratory of Intelligence Integrated Automation in Guangxi Universities</w:t>
      </w:r>
    </w:p>
    <w:p w14:paraId="54B716C3">
      <w:pPr>
        <w:widowControl/>
        <w:spacing w:after="120" w:line="360" w:lineRule="auto"/>
        <w:ind w:left="480" w:leftChars="200" w:firstLine="0" w:firstLineChars="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>标注格式：本研究受广西高校智能综合自动化重点实验室基金（项目编号：XXXX）资助</w:t>
      </w:r>
    </w:p>
    <w:p w14:paraId="0EF106DE">
      <w:pPr>
        <w:widowControl/>
        <w:spacing w:line="240" w:lineRule="auto"/>
        <w:ind w:firstLine="562"/>
        <w:outlineLvl w:val="1"/>
        <w:rPr>
          <w:rFonts w:hint="eastAsia" w:ascii="宋体" w:hAnsi="宋体" w:cs="宋体"/>
          <w:b/>
          <w:bCs/>
          <w:kern w:val="0"/>
          <w:sz w:val="28"/>
          <w:szCs w:val="12"/>
          <w:lang w:bidi="ar"/>
        </w:rPr>
      </w:pPr>
      <w:r>
        <w:rPr>
          <w:rFonts w:hint="eastAsia" w:ascii="宋体" w:hAnsi="宋体" w:cs="宋体"/>
          <w:b/>
          <w:bCs/>
          <w:kern w:val="0"/>
          <w:sz w:val="28"/>
          <w:szCs w:val="12"/>
          <w:lang w:bidi="ar"/>
        </w:rPr>
        <w:t>五、项目结题验收</w:t>
      </w:r>
    </w:p>
    <w:p w14:paraId="4FA125D3">
      <w:pPr>
        <w:widowControl/>
        <w:numPr>
          <w:ilvl w:val="0"/>
          <w:numId w:val="4"/>
        </w:numPr>
        <w:spacing w:after="120" w:line="360" w:lineRule="auto"/>
        <w:ind w:left="0" w:firstLine="48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>项目完成任务书约定的研究目标与考核指标后，可申请结题，经实验室审核通过后予以结题确认。</w:t>
      </w:r>
    </w:p>
    <w:p w14:paraId="7434EBD0">
      <w:pPr>
        <w:widowControl/>
        <w:numPr>
          <w:ilvl w:val="0"/>
          <w:numId w:val="4"/>
        </w:numPr>
        <w:tabs>
          <w:tab w:val="clear" w:pos="4080"/>
          <w:tab w:val="clear" w:pos="8160"/>
        </w:tabs>
        <w:spacing w:after="120" w:line="360" w:lineRule="auto"/>
        <w:ind w:left="0" w:firstLine="480"/>
        <w:rPr>
          <w:rFonts w:hint="eastAsia" w:ascii="宋体" w:hAnsi="宋体" w:cs="宋体"/>
          <w:kern w:val="0"/>
          <w:szCs w:val="12"/>
          <w:lang w:bidi="ar"/>
        </w:rPr>
      </w:pPr>
      <w:r>
        <w:rPr>
          <w:rFonts w:ascii="宋体" w:hAnsi="宋体" w:cs="宋体"/>
          <w:kern w:val="0"/>
          <w:szCs w:val="12"/>
          <w:lang w:bidi="ar"/>
        </w:rPr>
        <w:t>项目负责人须在研究周期结束后3个月内提交结题材料，包括：结题申请书、结题总结报告、成果证明（论文、专利、奖励、转化合同等）、经费使用明细等，并对材料真实性负责。</w:t>
      </w:r>
    </w:p>
    <w:p w14:paraId="2D477470">
      <w:pPr>
        <w:widowControl/>
        <w:numPr>
          <w:ilvl w:val="0"/>
          <w:numId w:val="4"/>
        </w:numPr>
        <w:tabs>
          <w:tab w:val="clear" w:pos="4080"/>
          <w:tab w:val="clear" w:pos="8160"/>
        </w:tabs>
        <w:spacing w:after="120" w:line="360" w:lineRule="auto"/>
        <w:ind w:left="0" w:firstLine="480"/>
        <w:rPr>
          <w:rFonts w:hint="eastAsia" w:ascii="宋体" w:hAnsi="宋体" w:cs="宋体"/>
          <w:kern w:val="0"/>
          <w:szCs w:val="12"/>
          <w:lang w:bidi="ar"/>
        </w:rPr>
      </w:pPr>
      <w:r>
        <w:rPr>
          <w:rFonts w:ascii="宋体" w:hAnsi="宋体" w:cs="宋体"/>
          <w:kern w:val="0"/>
          <w:szCs w:val="12"/>
          <w:lang w:bidi="ar"/>
        </w:rPr>
        <w:t>实验室组织专家对结题材料进行审查或会议验收，符合要求的准予结题；不符合要求的限期整改，整改仍不达标按不合格结题处理，记入信用记录。</w:t>
      </w:r>
    </w:p>
    <w:p w14:paraId="294AB97E">
      <w:pPr>
        <w:widowControl/>
        <w:spacing w:line="240" w:lineRule="auto"/>
        <w:ind w:firstLine="562"/>
        <w:outlineLvl w:val="1"/>
        <w:rPr>
          <w:rFonts w:hint="eastAsia" w:ascii="宋体" w:hAnsi="宋体" w:cs="宋体"/>
          <w:b/>
          <w:bCs/>
          <w:kern w:val="0"/>
          <w:sz w:val="28"/>
          <w:szCs w:val="12"/>
          <w:lang w:bidi="ar"/>
        </w:rPr>
      </w:pPr>
      <w:r>
        <w:rPr>
          <w:rFonts w:hint="eastAsia" w:ascii="宋体" w:hAnsi="宋体" w:cs="宋体"/>
          <w:b/>
          <w:bCs/>
          <w:kern w:val="0"/>
          <w:sz w:val="28"/>
          <w:szCs w:val="12"/>
          <w:lang w:bidi="ar"/>
        </w:rPr>
        <w:t>六、经费使用管理</w:t>
      </w:r>
    </w:p>
    <w:p w14:paraId="32BAD138">
      <w:pPr>
        <w:widowControl/>
        <w:numPr>
          <w:ilvl w:val="0"/>
          <w:numId w:val="5"/>
        </w:numPr>
        <w:spacing w:after="120" w:line="360" w:lineRule="auto"/>
        <w:ind w:left="0" w:firstLine="48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>开放课题经费拨付至项目负责人所在单位，由依托单位统一管理，实验室监督使用，开支范围参照广西自然科学基金项目管理规定执行，仅限用于课题直接相关的研究支出。</w:t>
      </w:r>
    </w:p>
    <w:p w14:paraId="43F91EE5">
      <w:pPr>
        <w:widowControl/>
        <w:numPr>
          <w:ilvl w:val="0"/>
          <w:numId w:val="5"/>
        </w:numPr>
        <w:spacing w:after="120" w:line="360" w:lineRule="auto"/>
        <w:ind w:left="0" w:firstLine="480"/>
        <w:rPr>
          <w:szCs w:val="12"/>
        </w:rPr>
      </w:pPr>
      <w:r>
        <w:rPr>
          <w:rFonts w:ascii="宋体" w:hAnsi="宋体" w:cs="宋体"/>
          <w:kern w:val="0"/>
          <w:szCs w:val="12"/>
          <w:lang w:bidi="ar"/>
        </w:rPr>
        <w:t>自主课题经费按照《桂林电子科技大学纵向科研项目经费管理办法》及自治区、学校相关科研经费管理制度执行，实行专款专用、专项核算，接受财务与审计监督。</w:t>
      </w:r>
    </w:p>
    <w:p w14:paraId="472310F5">
      <w:pPr>
        <w:widowControl/>
        <w:numPr>
          <w:ilvl w:val="0"/>
          <w:numId w:val="5"/>
        </w:numPr>
        <w:spacing w:after="120" w:line="360" w:lineRule="auto"/>
        <w:ind w:left="0" w:firstLine="480"/>
      </w:pPr>
      <w:r>
        <w:rPr>
          <w:rFonts w:ascii="宋体" w:hAnsi="宋体" w:cs="宋体"/>
          <w:kern w:val="0"/>
          <w:szCs w:val="12"/>
          <w:lang w:bidi="ar"/>
        </w:rPr>
        <w:t>经费支出须真实、合理、合规，严禁挪作他用；项目结题后结余经费按学校与实验室相关规定处理。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79544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D7D89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3E465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  <w:ind w:firstLine="480"/>
      </w:pPr>
      <w:r>
        <w:separator/>
      </w:r>
    </w:p>
  </w:footnote>
  <w:footnote w:type="continuationSeparator" w:id="1">
    <w:p>
      <w:pPr>
        <w:spacing w:line="48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ECC9D"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E0444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2CADC"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3159CE"/>
    <w:multiLevelType w:val="multilevel"/>
    <w:tmpl w:val="843159C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8A994C0F"/>
    <w:multiLevelType w:val="multilevel"/>
    <w:tmpl w:val="8A994C0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B411BF3D"/>
    <w:multiLevelType w:val="multilevel"/>
    <w:tmpl w:val="B411BF3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4E7EB788"/>
    <w:multiLevelType w:val="multilevel"/>
    <w:tmpl w:val="4E7EB78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57BF6A86"/>
    <w:multiLevelType w:val="multilevel"/>
    <w:tmpl w:val="57BF6A8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1DE"/>
    <w:rsid w:val="003E757E"/>
    <w:rsid w:val="004941DE"/>
    <w:rsid w:val="008571D7"/>
    <w:rsid w:val="00875918"/>
    <w:rsid w:val="009F4E78"/>
    <w:rsid w:val="00AD3536"/>
    <w:rsid w:val="00E90549"/>
    <w:rsid w:val="00F57D80"/>
    <w:rsid w:val="022E78D2"/>
    <w:rsid w:val="048211F5"/>
    <w:rsid w:val="08003DC4"/>
    <w:rsid w:val="0D402568"/>
    <w:rsid w:val="1B5508A0"/>
    <w:rsid w:val="1CE4012E"/>
    <w:rsid w:val="1D9456B0"/>
    <w:rsid w:val="21B24356"/>
    <w:rsid w:val="2D4B7D8D"/>
    <w:rsid w:val="45F14B9E"/>
    <w:rsid w:val="4C78570B"/>
    <w:rsid w:val="4FCA6CA8"/>
    <w:rsid w:val="557D644E"/>
    <w:rsid w:val="6A9A34D1"/>
    <w:rsid w:val="72CE7E91"/>
    <w:rsid w:val="75C630A2"/>
    <w:rsid w:val="7BCB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center" w:pos="4080"/>
        <w:tab w:val="right" w:pos="8160"/>
      </w:tabs>
      <w:spacing w:line="480" w:lineRule="auto"/>
      <w:ind w:firstLine="200" w:firstLineChars="200"/>
      <w:jc w:val="both"/>
      <w:textAlignment w:val="center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  <w:tab w:val="clear" w:pos="4080"/>
        <w:tab w:val="clear" w:pos="8160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tabs>
        <w:tab w:val="center" w:pos="4153"/>
        <w:tab w:val="right" w:pos="8306"/>
        <w:tab w:val="clear" w:pos="4080"/>
        <w:tab w:val="clear" w:pos="8160"/>
      </w:tabs>
      <w:snapToGrid w:val="0"/>
      <w:spacing w:line="240" w:lineRule="auto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1489</Words>
  <Characters>1555</Characters>
  <Lines>32</Lines>
  <Paragraphs>29</Paragraphs>
  <TotalTime>6</TotalTime>
  <ScaleCrop>false</ScaleCrop>
  <LinksUpToDate>false</LinksUpToDate>
  <CharactersWithSpaces>1569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2025-05-30T13:00:00Z</dcterms:created>
  <dc:creator>youngten</dc:creator>
  <cp:lastModifiedBy>黄旭</cp:lastModifiedBy>
  <dcterms:modified xsi:type="dcterms:W3CDTF">2026-07-14T08:05:51Z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91E37EEF8219478888B5FF9EB254E966_13</vt:lpwstr>
  </property>
  <property fmtid="{D5CDD505-2E9C-101B-9397-08002B2CF9AE}" pid="4" name="KSOTemplateDocerSaveRecord">
    <vt:lpwstr>eyJoZGlkIjoiMWVmZDRkMTQwMTkwNzM2MmQyNjQ0ZjgxN2IxYjIxNjEiLCJ1c2VySWQiOiIzNjk2OTg5MTQifQ==</vt:lpwstr>
  </property>
</Properties>
</file>