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B502B">
      <w:pPr>
        <w:pStyle w:val="2"/>
        <w:widowControl/>
        <w:spacing w:beforeAutospacing="0" w:afterAutospacing="0" w:line="240" w:lineRule="auto"/>
        <w:ind w:firstLine="0" w:firstLineChars="0"/>
        <w:jc w:val="center"/>
        <w:rPr>
          <w:rFonts w:eastAsia="黑体"/>
          <w:b w:val="0"/>
          <w:sz w:val="36"/>
          <w:szCs w:val="12"/>
        </w:rPr>
      </w:pPr>
      <w:r>
        <w:rPr>
          <w:rFonts w:eastAsia="黑体"/>
          <w:b w:val="0"/>
          <w:sz w:val="36"/>
          <w:szCs w:val="12"/>
        </w:rPr>
        <w:t>广西高校智能综合自动化重点实验室2026年度自主课题和开放课题申报通知</w:t>
      </w:r>
    </w:p>
    <w:p w14:paraId="41EF517F">
      <w:pPr>
        <w:ind w:firstLine="480"/>
      </w:pPr>
    </w:p>
    <w:p w14:paraId="151640BE">
      <w:pPr>
        <w:widowControl/>
        <w:spacing w:after="120" w:line="360" w:lineRule="auto"/>
        <w:ind w:firstLine="480"/>
        <w:rPr>
          <w:szCs w:val="12"/>
        </w:rPr>
      </w:pPr>
      <w:r>
        <w:rPr>
          <w:rFonts w:ascii="宋体" w:hAnsi="宋体" w:cs="宋体"/>
          <w:kern w:val="0"/>
          <w:szCs w:val="12"/>
          <w:lang w:bidi="ar"/>
        </w:rPr>
        <w:t>广西高校智能综合自动化重点实验室（以下简称 “重点实验室”）依托桂林电子科技大学建设，聚焦</w:t>
      </w:r>
      <w:r>
        <w:rPr>
          <w:rStyle w:val="9"/>
          <w:rFonts w:ascii="宋体" w:hAnsi="宋体" w:cs="宋体"/>
          <w:b w:val="0"/>
          <w:bCs/>
          <w:kern w:val="0"/>
          <w:szCs w:val="12"/>
          <w:lang w:bidi="ar"/>
        </w:rPr>
        <w:t>控制科学与工程</w:t>
      </w:r>
      <w:r>
        <w:rPr>
          <w:rFonts w:ascii="宋体" w:hAnsi="宋体" w:cs="宋体"/>
          <w:kern w:val="0"/>
          <w:szCs w:val="12"/>
          <w:lang w:bidi="ar"/>
        </w:rPr>
        <w:t>学科，围绕广西主产业与新兴产业发展需求，开展</w:t>
      </w:r>
      <w:r>
        <w:rPr>
          <w:rStyle w:val="9"/>
          <w:rFonts w:ascii="宋体" w:hAnsi="宋体" w:cs="宋体"/>
          <w:b w:val="0"/>
          <w:bCs/>
          <w:kern w:val="0"/>
          <w:szCs w:val="12"/>
          <w:lang w:bidi="ar"/>
        </w:rPr>
        <w:t>非线性系统建模与智能控制、模式识别与智能机器人控制、自动化检测系统与智能装备</w:t>
      </w:r>
      <w:r>
        <w:rPr>
          <w:rFonts w:ascii="宋体" w:hAnsi="宋体" w:cs="宋体"/>
          <w:kern w:val="0"/>
          <w:szCs w:val="12"/>
          <w:lang w:bidi="ar"/>
        </w:rPr>
        <w:t>方向的科学研究、技术攻关与人才培养，致力于打造广西自动化领域具有重要影响力的科技核心力量与人才培养基地。为促进学术交流、开放共享与协同创新，提升实验室整体科研水平与成果产出，现面向实验室固定成员及国内外相关领域科研人员发布2026年度自主课题和开放课题申报指南。</w:t>
      </w:r>
    </w:p>
    <w:p w14:paraId="11BE7711">
      <w:pPr>
        <w:widowControl/>
        <w:spacing w:after="120" w:line="360" w:lineRule="auto"/>
        <w:ind w:firstLine="0" w:firstLineChars="0"/>
        <w:rPr>
          <w:b/>
          <w:szCs w:val="12"/>
        </w:rPr>
      </w:pPr>
      <w:r>
        <w:rPr>
          <w:rFonts w:ascii="宋体" w:hAnsi="宋体" w:cs="宋体"/>
          <w:b/>
          <w:kern w:val="0"/>
          <w:szCs w:val="12"/>
          <w:lang w:bidi="ar"/>
        </w:rPr>
        <w:t>一、本年度自主课题和开放课题资助范围</w:t>
      </w:r>
    </w:p>
    <w:p w14:paraId="52EA89F0">
      <w:pPr>
        <w:widowControl/>
        <w:spacing w:after="120" w:line="360" w:lineRule="auto"/>
        <w:ind w:firstLine="482"/>
        <w:rPr>
          <w:b/>
          <w:bCs/>
          <w:szCs w:val="12"/>
        </w:rPr>
      </w:pPr>
      <w:r>
        <w:rPr>
          <w:rFonts w:ascii="宋体" w:hAnsi="宋体" w:cs="宋体"/>
          <w:b/>
          <w:bCs/>
          <w:kern w:val="0"/>
          <w:szCs w:val="12"/>
          <w:lang w:bidi="ar"/>
        </w:rPr>
        <w:t>研究方向一：非线性系统建模与智能控制</w:t>
      </w:r>
    </w:p>
    <w:p w14:paraId="0ABA8FF6">
      <w:pPr>
        <w:widowControl/>
        <w:numPr>
          <w:ilvl w:val="0"/>
          <w:numId w:val="1"/>
        </w:numPr>
        <w:spacing w:after="120" w:line="360" w:lineRule="auto"/>
        <w:ind w:firstLineChars="0"/>
        <w:rPr>
          <w:szCs w:val="12"/>
        </w:rPr>
      </w:pPr>
      <w:r>
        <w:rPr>
          <w:rFonts w:ascii="宋体" w:hAnsi="宋体" w:cs="宋体"/>
          <w:kern w:val="0"/>
          <w:szCs w:val="12"/>
          <w:lang w:bidi="ar"/>
        </w:rPr>
        <w:t>复杂非线性迟滞系统智能建模理论与方法</w:t>
      </w:r>
    </w:p>
    <w:p w14:paraId="323186B1">
      <w:pPr>
        <w:widowControl/>
        <w:numPr>
          <w:ilvl w:val="0"/>
          <w:numId w:val="1"/>
        </w:numPr>
        <w:spacing w:after="120" w:line="360" w:lineRule="auto"/>
        <w:ind w:firstLineChars="0"/>
        <w:rPr>
          <w:szCs w:val="12"/>
        </w:rPr>
      </w:pPr>
      <w:r>
        <w:rPr>
          <w:rFonts w:ascii="宋体" w:hAnsi="宋体" w:cs="宋体"/>
          <w:kern w:val="0"/>
          <w:szCs w:val="12"/>
          <w:lang w:bidi="ar"/>
        </w:rPr>
        <w:t>分数阶智能控制、模糊控制、神经网络控制理论及应用</w:t>
      </w:r>
    </w:p>
    <w:p w14:paraId="3109023A">
      <w:pPr>
        <w:widowControl/>
        <w:numPr>
          <w:ilvl w:val="0"/>
          <w:numId w:val="1"/>
        </w:numPr>
        <w:spacing w:after="120" w:line="360" w:lineRule="auto"/>
        <w:ind w:firstLineChars="0"/>
        <w:rPr>
          <w:szCs w:val="12"/>
        </w:rPr>
      </w:pPr>
      <w:r>
        <w:rPr>
          <w:rFonts w:ascii="宋体" w:hAnsi="宋体" w:cs="宋体"/>
          <w:kern w:val="0"/>
          <w:szCs w:val="12"/>
          <w:lang w:bidi="ar"/>
        </w:rPr>
        <w:t>工业机器人柔性关节迟滞特性建模与误差补偿控制</w:t>
      </w:r>
    </w:p>
    <w:p w14:paraId="41A74150">
      <w:pPr>
        <w:widowControl/>
        <w:numPr>
          <w:ilvl w:val="0"/>
          <w:numId w:val="1"/>
        </w:numPr>
        <w:spacing w:after="120" w:line="360" w:lineRule="auto"/>
        <w:ind w:firstLineChars="0"/>
        <w:rPr>
          <w:szCs w:val="12"/>
        </w:rPr>
      </w:pPr>
      <w:r>
        <w:rPr>
          <w:rFonts w:ascii="宋体" w:hAnsi="宋体" w:cs="宋体"/>
          <w:kern w:val="0"/>
          <w:szCs w:val="12"/>
          <w:lang w:bidi="ar"/>
        </w:rPr>
        <w:t>机器人视觉</w:t>
      </w:r>
      <w:r>
        <w:rPr>
          <w:rFonts w:hint="eastAsia" w:ascii="宋体" w:hAnsi="宋体" w:cs="宋体"/>
          <w:kern w:val="0"/>
          <w:szCs w:val="12"/>
          <w:lang w:bidi="ar"/>
        </w:rPr>
        <w:t>-</w:t>
      </w:r>
      <w:r>
        <w:rPr>
          <w:rFonts w:ascii="宋体" w:hAnsi="宋体" w:cs="宋体"/>
          <w:kern w:val="0"/>
          <w:szCs w:val="12"/>
          <w:lang w:bidi="ar"/>
        </w:rPr>
        <w:t>力觉融合控制与无传感器精细控制</w:t>
      </w:r>
    </w:p>
    <w:p w14:paraId="48817686">
      <w:pPr>
        <w:widowControl/>
        <w:numPr>
          <w:ilvl w:val="0"/>
          <w:numId w:val="1"/>
        </w:numPr>
        <w:spacing w:after="120" w:line="360" w:lineRule="auto"/>
        <w:ind w:firstLineChars="0"/>
        <w:rPr>
          <w:szCs w:val="12"/>
        </w:rPr>
      </w:pPr>
      <w:r>
        <w:rPr>
          <w:rFonts w:ascii="宋体" w:hAnsi="宋体" w:cs="宋体"/>
          <w:kern w:val="0"/>
          <w:szCs w:val="12"/>
          <w:lang w:bidi="ar"/>
        </w:rPr>
        <w:t>非线性系统自适应控制、鲁棒控制与故障诊断</w:t>
      </w:r>
    </w:p>
    <w:p w14:paraId="29ACD211">
      <w:pPr>
        <w:widowControl/>
        <w:numPr>
          <w:ilvl w:val="0"/>
          <w:numId w:val="1"/>
        </w:numPr>
        <w:spacing w:after="120" w:line="360" w:lineRule="auto"/>
        <w:ind w:firstLineChars="0"/>
        <w:rPr>
          <w:szCs w:val="12"/>
        </w:rPr>
      </w:pPr>
      <w:r>
        <w:rPr>
          <w:rFonts w:ascii="宋体" w:hAnsi="宋体" w:cs="宋体"/>
          <w:kern w:val="0"/>
          <w:szCs w:val="12"/>
          <w:lang w:bidi="ar"/>
        </w:rPr>
        <w:t>智能优化算法在非线性系统控制中的应用</w:t>
      </w:r>
    </w:p>
    <w:p w14:paraId="6603926B">
      <w:pPr>
        <w:widowControl/>
        <w:numPr>
          <w:ilvl w:val="0"/>
          <w:numId w:val="1"/>
        </w:numPr>
        <w:spacing w:after="120" w:line="360" w:lineRule="auto"/>
        <w:ind w:firstLineChars="0"/>
        <w:rPr>
          <w:szCs w:val="12"/>
        </w:rPr>
      </w:pPr>
      <w:r>
        <w:rPr>
          <w:rFonts w:ascii="宋体" w:hAnsi="宋体" w:cs="宋体"/>
        </w:rPr>
        <w:t>动力装置智能感知与非线性流体控制</w:t>
      </w:r>
    </w:p>
    <w:p w14:paraId="3214EE36">
      <w:pPr>
        <w:widowControl/>
        <w:spacing w:after="120" w:line="360" w:lineRule="auto"/>
        <w:ind w:firstLine="482"/>
        <w:rPr>
          <w:rFonts w:hint="eastAsia" w:ascii="宋体" w:hAnsi="宋体" w:cs="宋体"/>
          <w:b/>
          <w:bCs/>
          <w:kern w:val="0"/>
          <w:szCs w:val="12"/>
          <w:lang w:bidi="ar"/>
        </w:rPr>
      </w:pPr>
      <w:r>
        <w:rPr>
          <w:rFonts w:ascii="宋体" w:hAnsi="宋体" w:cs="宋体"/>
          <w:b/>
          <w:bCs/>
          <w:kern w:val="0"/>
          <w:szCs w:val="12"/>
          <w:lang w:bidi="ar"/>
        </w:rPr>
        <w:t>研究方向二：模式识别与智能机器人控制</w:t>
      </w:r>
    </w:p>
    <w:p w14:paraId="68035133">
      <w:pPr>
        <w:widowControl/>
        <w:numPr>
          <w:ilvl w:val="0"/>
          <w:numId w:val="2"/>
        </w:numPr>
        <w:spacing w:after="120" w:line="360" w:lineRule="auto"/>
        <w:ind w:firstLineChars="0"/>
        <w:rPr>
          <w:szCs w:val="12"/>
        </w:rPr>
      </w:pPr>
      <w:r>
        <w:rPr>
          <w:rFonts w:ascii="宋体" w:hAnsi="宋体" w:cs="宋体"/>
        </w:rPr>
        <w:t>复杂环境移动机器人路径规划、自主导航与多机协同</w:t>
      </w:r>
    </w:p>
    <w:p w14:paraId="624F0B95">
      <w:pPr>
        <w:widowControl/>
        <w:numPr>
          <w:ilvl w:val="0"/>
          <w:numId w:val="2"/>
        </w:numPr>
        <w:spacing w:after="120" w:line="360" w:lineRule="auto"/>
        <w:ind w:firstLineChars="0"/>
        <w:rPr>
          <w:szCs w:val="12"/>
        </w:rPr>
      </w:pPr>
      <w:r>
        <w:rPr>
          <w:rFonts w:ascii="宋体" w:hAnsi="宋体" w:cs="宋体"/>
        </w:rPr>
        <w:t>特种机器人控制（农业采摘、防疫、微创诊疗）</w:t>
      </w:r>
    </w:p>
    <w:p w14:paraId="0D7C4F37">
      <w:pPr>
        <w:widowControl/>
        <w:numPr>
          <w:ilvl w:val="0"/>
          <w:numId w:val="2"/>
        </w:numPr>
        <w:spacing w:after="120" w:line="360" w:lineRule="auto"/>
        <w:ind w:firstLineChars="0"/>
        <w:rPr>
          <w:szCs w:val="12"/>
        </w:rPr>
      </w:pPr>
      <w:r>
        <w:rPr>
          <w:rFonts w:hint="eastAsia"/>
          <w:szCs w:val="12"/>
        </w:rPr>
        <w:t>医学影像分割和肿瘤分类方法研究</w:t>
      </w:r>
    </w:p>
    <w:p w14:paraId="74F79CA9">
      <w:pPr>
        <w:widowControl/>
        <w:numPr>
          <w:ilvl w:val="0"/>
          <w:numId w:val="2"/>
        </w:numPr>
        <w:spacing w:after="120" w:line="360" w:lineRule="auto"/>
        <w:ind w:firstLineChars="0"/>
        <w:rPr>
          <w:szCs w:val="12"/>
        </w:rPr>
      </w:pPr>
      <w:r>
        <w:rPr>
          <w:rFonts w:ascii="宋体" w:hAnsi="宋体" w:cs="宋体"/>
          <w:kern w:val="0"/>
          <w:szCs w:val="12"/>
          <w:lang w:bidi="ar"/>
        </w:rPr>
        <w:t>视觉检测与工业机器人融合控制</w:t>
      </w:r>
    </w:p>
    <w:p w14:paraId="5A41FBA0">
      <w:pPr>
        <w:widowControl/>
        <w:numPr>
          <w:ilvl w:val="0"/>
          <w:numId w:val="2"/>
        </w:numPr>
        <w:spacing w:after="120" w:line="360" w:lineRule="auto"/>
        <w:ind w:firstLineChars="0"/>
        <w:rPr>
          <w:szCs w:val="12"/>
        </w:rPr>
      </w:pPr>
      <w:r>
        <w:rPr>
          <w:rFonts w:hint="eastAsia" w:ascii="宋体" w:hAnsi="宋体" w:cs="宋体"/>
          <w:kern w:val="0"/>
          <w:szCs w:val="12"/>
          <w:lang w:bidi="ar"/>
        </w:rPr>
        <w:t>动态环境下的视觉SLAM研究</w:t>
      </w:r>
    </w:p>
    <w:p w14:paraId="305F0942">
      <w:pPr>
        <w:widowControl/>
        <w:numPr>
          <w:ilvl w:val="0"/>
          <w:numId w:val="2"/>
        </w:numPr>
        <w:spacing w:after="120" w:line="360" w:lineRule="auto"/>
        <w:ind w:firstLineChars="0"/>
        <w:rPr>
          <w:szCs w:val="12"/>
        </w:rPr>
      </w:pPr>
      <w:r>
        <w:rPr>
          <w:rFonts w:ascii="宋体" w:hAnsi="宋体" w:cs="宋体"/>
          <w:kern w:val="0"/>
          <w:szCs w:val="12"/>
          <w:lang w:bidi="ar"/>
        </w:rPr>
        <w:t>机器人智能感知、人机交互与安全控制</w:t>
      </w:r>
    </w:p>
    <w:p w14:paraId="48F3048A">
      <w:pPr>
        <w:widowControl/>
        <w:numPr>
          <w:ilvl w:val="0"/>
          <w:numId w:val="2"/>
        </w:numPr>
        <w:spacing w:after="120" w:line="360" w:lineRule="auto"/>
        <w:ind w:firstLineChars="0"/>
        <w:rPr>
          <w:szCs w:val="12"/>
        </w:rPr>
      </w:pPr>
      <w:r>
        <w:rPr>
          <w:rFonts w:hint="eastAsia"/>
          <w:szCs w:val="12"/>
        </w:rPr>
        <w:t>夜间场景理解与热红外图像处理。</w:t>
      </w:r>
    </w:p>
    <w:p w14:paraId="2E01FAA0">
      <w:pPr>
        <w:widowControl/>
        <w:spacing w:after="120" w:line="360" w:lineRule="auto"/>
        <w:ind w:firstLine="482"/>
        <w:rPr>
          <w:rFonts w:hint="eastAsia" w:ascii="宋体" w:hAnsi="宋体" w:cs="宋体"/>
          <w:b/>
          <w:bCs/>
          <w:kern w:val="0"/>
          <w:szCs w:val="12"/>
          <w:lang w:bidi="ar"/>
        </w:rPr>
      </w:pPr>
      <w:r>
        <w:rPr>
          <w:rFonts w:ascii="宋体" w:hAnsi="宋体" w:cs="宋体"/>
          <w:b/>
          <w:bCs/>
          <w:kern w:val="0"/>
          <w:szCs w:val="12"/>
          <w:lang w:bidi="ar"/>
        </w:rPr>
        <w:t>研究方向三：自动化检测系统与智能装备</w:t>
      </w:r>
    </w:p>
    <w:p w14:paraId="1CF89376">
      <w:pPr>
        <w:widowControl/>
        <w:numPr>
          <w:ilvl w:val="0"/>
          <w:numId w:val="3"/>
        </w:numPr>
        <w:spacing w:after="120" w:line="360" w:lineRule="auto"/>
        <w:ind w:firstLineChars="0"/>
        <w:rPr>
          <w:szCs w:val="12"/>
        </w:rPr>
      </w:pPr>
      <w:r>
        <w:rPr>
          <w:rFonts w:ascii="宋体" w:hAnsi="宋体" w:cs="宋体"/>
          <w:kern w:val="0"/>
          <w:szCs w:val="12"/>
          <w:lang w:bidi="ar"/>
        </w:rPr>
        <w:t>新能源汽车动力电池状态估计与能量优化控制</w:t>
      </w:r>
    </w:p>
    <w:p w14:paraId="073DC659">
      <w:pPr>
        <w:widowControl/>
        <w:numPr>
          <w:ilvl w:val="0"/>
          <w:numId w:val="3"/>
        </w:numPr>
        <w:spacing w:after="120" w:line="360" w:lineRule="auto"/>
        <w:ind w:firstLineChars="0"/>
        <w:rPr>
          <w:szCs w:val="12"/>
        </w:rPr>
      </w:pPr>
      <w:r>
        <w:rPr>
          <w:rFonts w:ascii="宋体" w:hAnsi="宋体" w:cs="宋体"/>
          <w:kern w:val="0"/>
          <w:szCs w:val="12"/>
          <w:lang w:bidi="ar"/>
        </w:rPr>
        <w:t>电动汽车再生制动优化、车载传感器与智能检测</w:t>
      </w:r>
    </w:p>
    <w:p w14:paraId="67EF0BD0">
      <w:pPr>
        <w:widowControl/>
        <w:numPr>
          <w:ilvl w:val="0"/>
          <w:numId w:val="3"/>
        </w:numPr>
        <w:spacing w:after="120" w:line="360" w:lineRule="auto"/>
        <w:ind w:firstLineChars="0"/>
        <w:rPr>
          <w:szCs w:val="12"/>
        </w:rPr>
      </w:pPr>
      <w:r>
        <w:rPr>
          <w:rFonts w:ascii="宋体" w:hAnsi="宋体" w:cs="宋体"/>
          <w:kern w:val="0"/>
          <w:szCs w:val="12"/>
          <w:lang w:bidi="ar"/>
        </w:rPr>
        <w:t>分布式无线传感采集、生物信号检测与医疗康复仪器</w:t>
      </w:r>
    </w:p>
    <w:p w14:paraId="58A50F57">
      <w:pPr>
        <w:widowControl/>
        <w:numPr>
          <w:ilvl w:val="0"/>
          <w:numId w:val="3"/>
        </w:numPr>
        <w:spacing w:after="120" w:line="360" w:lineRule="auto"/>
        <w:ind w:firstLineChars="0"/>
        <w:rPr>
          <w:szCs w:val="12"/>
        </w:rPr>
      </w:pPr>
      <w:r>
        <w:rPr>
          <w:rFonts w:ascii="宋体" w:hAnsi="宋体" w:cs="宋体"/>
          <w:kern w:val="0"/>
          <w:szCs w:val="12"/>
          <w:lang w:bidi="ar"/>
        </w:rPr>
        <w:t>云边端协同、数字孪生与工程装备智能管控</w:t>
      </w:r>
    </w:p>
    <w:p w14:paraId="4F4A6235">
      <w:pPr>
        <w:widowControl/>
        <w:numPr>
          <w:ilvl w:val="0"/>
          <w:numId w:val="3"/>
        </w:numPr>
        <w:spacing w:after="120" w:line="360" w:lineRule="auto"/>
        <w:ind w:firstLineChars="0"/>
        <w:rPr>
          <w:szCs w:val="12"/>
        </w:rPr>
      </w:pPr>
      <w:r>
        <w:rPr>
          <w:rFonts w:ascii="宋体" w:hAnsi="宋体" w:cs="宋体"/>
          <w:kern w:val="0"/>
          <w:szCs w:val="12"/>
          <w:lang w:bidi="ar"/>
        </w:rPr>
        <w:t>智能检测装备、自动化生产线与工业物联网</w:t>
      </w:r>
    </w:p>
    <w:p w14:paraId="73A670C7">
      <w:pPr>
        <w:widowControl/>
        <w:numPr>
          <w:ilvl w:val="0"/>
          <w:numId w:val="3"/>
        </w:numPr>
        <w:spacing w:after="120" w:line="360" w:lineRule="auto"/>
        <w:ind w:firstLineChars="0"/>
        <w:rPr>
          <w:szCs w:val="12"/>
        </w:rPr>
      </w:pPr>
      <w:r>
        <w:rPr>
          <w:rFonts w:ascii="宋体" w:hAnsi="宋体" w:cs="宋体"/>
          <w:kern w:val="0"/>
          <w:szCs w:val="12"/>
          <w:lang w:bidi="ar"/>
        </w:rPr>
        <w:t>太赫兹传感、光电检测与多模态信息融合技术</w:t>
      </w:r>
      <w:r>
        <w:rPr>
          <w:rFonts w:hint="eastAsia" w:ascii="宋体" w:hAnsi="宋体" w:cs="宋体"/>
          <w:kern w:val="0"/>
          <w:szCs w:val="12"/>
          <w:lang w:bidi="ar"/>
        </w:rPr>
        <w:t>。</w:t>
      </w:r>
    </w:p>
    <w:p w14:paraId="13ED2BD0">
      <w:pPr>
        <w:widowControl/>
        <w:spacing w:after="120" w:line="360" w:lineRule="auto"/>
        <w:ind w:firstLine="0" w:firstLineChars="0"/>
        <w:rPr>
          <w:b/>
          <w:szCs w:val="12"/>
        </w:rPr>
      </w:pPr>
      <w:r>
        <w:rPr>
          <w:rFonts w:ascii="宋体" w:hAnsi="宋体" w:cs="宋体"/>
          <w:b/>
          <w:kern w:val="0"/>
          <w:szCs w:val="12"/>
          <w:lang w:bidi="ar"/>
        </w:rPr>
        <w:t>二、申报和结题要求</w:t>
      </w:r>
    </w:p>
    <w:p w14:paraId="0CB69472">
      <w:pPr>
        <w:widowControl/>
        <w:numPr>
          <w:ilvl w:val="0"/>
          <w:numId w:val="4"/>
        </w:numPr>
        <w:spacing w:after="120" w:line="360" w:lineRule="auto"/>
        <w:ind w:left="0" w:firstLine="480"/>
        <w:rPr>
          <w:szCs w:val="12"/>
        </w:rPr>
      </w:pPr>
      <w:r>
        <w:rPr>
          <w:rFonts w:ascii="宋体" w:hAnsi="宋体" w:cs="宋体"/>
          <w:kern w:val="0"/>
          <w:szCs w:val="12"/>
          <w:lang w:bidi="ar"/>
        </w:rPr>
        <w:t>申请人应具备相关领域中级及以上职称或硕士及以上学位，具有独立科研能力与良好研究基础。自主课题申请人限为本实验室固定成员，开放课题申请人为实验室以外高校、科研院所、企业科研人员。课题申请人不得同时作为负责人申请 2 项及以上课题，在研本实验室自主</w:t>
      </w:r>
      <w:r>
        <w:rPr>
          <w:rFonts w:hint="eastAsia" w:ascii="宋体" w:hAnsi="宋体" w:cs="宋体"/>
          <w:kern w:val="0"/>
          <w:szCs w:val="12"/>
          <w:lang w:bidi="ar"/>
        </w:rPr>
        <w:t>/</w:t>
      </w:r>
      <w:r>
        <w:rPr>
          <w:rFonts w:ascii="宋体" w:hAnsi="宋体" w:cs="宋体"/>
          <w:kern w:val="0"/>
          <w:szCs w:val="12"/>
          <w:lang w:bidi="ar"/>
        </w:rPr>
        <w:t>开放课题未结题者不得申报。</w:t>
      </w:r>
    </w:p>
    <w:p w14:paraId="536990A3">
      <w:pPr>
        <w:widowControl/>
        <w:numPr>
          <w:ilvl w:val="0"/>
          <w:numId w:val="4"/>
        </w:numPr>
        <w:spacing w:after="120" w:line="360" w:lineRule="auto"/>
        <w:ind w:left="0" w:firstLine="480"/>
        <w:rPr>
          <w:szCs w:val="12"/>
        </w:rPr>
      </w:pPr>
      <w:r>
        <w:rPr>
          <w:rFonts w:ascii="宋体" w:hAnsi="宋体" w:cs="宋体"/>
          <w:kern w:val="0"/>
          <w:szCs w:val="12"/>
          <w:lang w:bidi="ar"/>
        </w:rPr>
        <w:t>课题须紧扣实验室三大研究方向，鼓励原创性、前沿性、应用导向研究，支持产学研协同与多学科交叉，研究成果可作为实验室标志性成果。</w:t>
      </w:r>
    </w:p>
    <w:p w14:paraId="13DE9209">
      <w:pPr>
        <w:widowControl/>
        <w:numPr>
          <w:ilvl w:val="0"/>
          <w:numId w:val="4"/>
        </w:numPr>
        <w:spacing w:after="120" w:line="360" w:lineRule="auto"/>
        <w:ind w:left="0" w:firstLine="480"/>
        <w:rPr>
          <w:szCs w:val="12"/>
        </w:rPr>
      </w:pPr>
      <w:r>
        <w:rPr>
          <w:rFonts w:ascii="宋体" w:hAnsi="宋体" w:cs="宋体"/>
          <w:kern w:val="0"/>
          <w:szCs w:val="12"/>
          <w:lang w:bidi="ar"/>
        </w:rPr>
        <w:t>不得以已立项课题的全部或部分内容重复申报，鼓励围绕指南开展探索性研究。</w:t>
      </w:r>
    </w:p>
    <w:p w14:paraId="5C952E6C">
      <w:pPr>
        <w:widowControl/>
        <w:numPr>
          <w:ilvl w:val="0"/>
          <w:numId w:val="4"/>
        </w:numPr>
        <w:spacing w:after="120" w:line="360" w:lineRule="auto"/>
        <w:ind w:left="0" w:firstLine="480"/>
        <w:rPr>
          <w:rFonts w:hint="eastAsia" w:ascii="宋体" w:hAnsi="宋体" w:cs="宋体"/>
          <w:kern w:val="0"/>
          <w:szCs w:val="12"/>
          <w:lang w:bidi="ar"/>
        </w:rPr>
      </w:pPr>
      <w:r>
        <w:rPr>
          <w:rFonts w:ascii="宋体" w:hAnsi="宋体" w:cs="宋体"/>
          <w:kern w:val="0"/>
          <w:szCs w:val="12"/>
          <w:lang w:bidi="ar"/>
        </w:rPr>
        <w:t>结题成果要求：每个项目须</w:t>
      </w:r>
      <w:r>
        <w:rPr>
          <w:rFonts w:hint="eastAsia" w:ascii="宋体" w:hAnsi="宋体" w:cs="宋体"/>
          <w:kern w:val="0"/>
          <w:szCs w:val="12"/>
          <w:lang w:bidi="ar"/>
        </w:rPr>
        <w:t>发表</w:t>
      </w:r>
      <w:r>
        <w:rPr>
          <w:rFonts w:ascii="宋体" w:hAnsi="宋体" w:cs="宋体"/>
          <w:kern w:val="0"/>
          <w:szCs w:val="12"/>
          <w:lang w:bidi="ar"/>
        </w:rPr>
        <w:t xml:space="preserve">SCI/EI 收录期刊论文 </w:t>
      </w:r>
      <w:r>
        <w:rPr>
          <w:rFonts w:hint="eastAsia" w:ascii="宋体" w:hAnsi="宋体" w:cs="宋体"/>
          <w:kern w:val="0"/>
          <w:szCs w:val="12"/>
          <w:lang w:bidi="ar"/>
        </w:rPr>
        <w:t>2-4</w:t>
      </w:r>
      <w:r>
        <w:rPr>
          <w:rFonts w:ascii="宋体" w:hAnsi="宋体" w:cs="宋体"/>
          <w:kern w:val="0"/>
          <w:szCs w:val="12"/>
          <w:lang w:bidi="ar"/>
        </w:rPr>
        <w:t>篇，并将实验室作为署名单位之一</w:t>
      </w:r>
      <w:r>
        <w:rPr>
          <w:rFonts w:hint="eastAsia" w:ascii="宋体" w:hAnsi="宋体" w:cs="宋体"/>
          <w:kern w:val="0"/>
          <w:szCs w:val="12"/>
          <w:lang w:bidi="ar"/>
        </w:rPr>
        <w:t>，排名必须前三。</w:t>
      </w:r>
    </w:p>
    <w:p w14:paraId="001C923D">
      <w:pPr>
        <w:widowControl/>
        <w:numPr>
          <w:ilvl w:val="0"/>
          <w:numId w:val="4"/>
        </w:numPr>
        <w:spacing w:after="120" w:line="360" w:lineRule="auto"/>
        <w:ind w:left="0" w:firstLine="480"/>
        <w:rPr>
          <w:szCs w:val="12"/>
        </w:rPr>
      </w:pPr>
      <w:r>
        <w:rPr>
          <w:rFonts w:ascii="宋体" w:hAnsi="宋体" w:cs="宋体"/>
          <w:kern w:val="0"/>
          <w:szCs w:val="12"/>
          <w:lang w:bidi="ar"/>
        </w:rPr>
        <w:t>中文署名：广西高校智能综合自动化重点实验室；英文署名：</w:t>
      </w:r>
      <w:r>
        <w:rPr>
          <w:rFonts w:hint="eastAsia" w:ascii="宋体" w:hAnsi="宋体" w:cs="宋体"/>
          <w:kern w:val="0"/>
          <w:szCs w:val="12"/>
          <w:lang w:bidi="ar"/>
        </w:rPr>
        <w:t>Key Laboratory of Intelligence Integrated Automation in</w:t>
      </w:r>
      <w:r>
        <w:rPr>
          <w:rFonts w:hint="eastAsia" w:ascii="宋体" w:hAnsi="宋体" w:cs="宋体"/>
          <w:kern w:val="0"/>
          <w:szCs w:val="12"/>
          <w:highlight w:val="none"/>
          <w:lang w:bidi="ar"/>
        </w:rPr>
        <w:t xml:space="preserve"> Guangxi </w:t>
      </w:r>
      <w:r>
        <w:rPr>
          <w:rFonts w:hint="eastAsia" w:ascii="宋体" w:hAnsi="宋体" w:cs="宋体"/>
          <w:kern w:val="0"/>
          <w:szCs w:val="12"/>
          <w:lang w:bidi="ar"/>
        </w:rPr>
        <w:t>Universities</w:t>
      </w:r>
      <w:r>
        <w:rPr>
          <w:rFonts w:ascii="宋体" w:hAnsi="宋体" w:cs="宋体"/>
          <w:kern w:val="0"/>
          <w:szCs w:val="12"/>
          <w:lang w:bidi="ar"/>
        </w:rPr>
        <w:t>。成果须标注“广西高校智能综合自动化重点实验室自主课题（开放课题）资助”及项目编号。</w:t>
      </w:r>
    </w:p>
    <w:p w14:paraId="6322DE43">
      <w:pPr>
        <w:widowControl/>
        <w:numPr>
          <w:ilvl w:val="0"/>
          <w:numId w:val="4"/>
        </w:numPr>
        <w:spacing w:after="120" w:line="360" w:lineRule="auto"/>
        <w:ind w:left="0" w:firstLine="480"/>
        <w:rPr>
          <w:szCs w:val="12"/>
        </w:rPr>
      </w:pPr>
      <w:r>
        <w:rPr>
          <w:rFonts w:ascii="宋体" w:hAnsi="宋体" w:cs="宋体"/>
          <w:kern w:val="0"/>
          <w:szCs w:val="12"/>
          <w:lang w:bidi="ar"/>
        </w:rPr>
        <w:t>项目须按期结题，逾期未结题且无正当理由者，取消后续申报资格。</w:t>
      </w:r>
    </w:p>
    <w:p w14:paraId="4BB5A1B5">
      <w:pPr>
        <w:widowControl/>
        <w:numPr>
          <w:ilvl w:val="0"/>
          <w:numId w:val="5"/>
        </w:numPr>
        <w:spacing w:after="120" w:line="360" w:lineRule="auto"/>
        <w:ind w:firstLine="482"/>
        <w:rPr>
          <w:rFonts w:hint="eastAsia" w:ascii="宋体" w:hAnsi="宋体" w:cs="宋体"/>
          <w:b/>
          <w:kern w:val="0"/>
          <w:szCs w:val="12"/>
          <w:lang w:bidi="ar"/>
        </w:rPr>
      </w:pPr>
      <w:r>
        <w:rPr>
          <w:rFonts w:ascii="宋体" w:hAnsi="宋体" w:cs="宋体"/>
          <w:b/>
          <w:kern w:val="0"/>
          <w:szCs w:val="12"/>
          <w:lang w:bidi="ar"/>
        </w:rPr>
        <w:t>资助经费及研究周期</w:t>
      </w:r>
    </w:p>
    <w:p w14:paraId="12097E2A">
      <w:pPr>
        <w:widowControl/>
        <w:numPr>
          <w:ilvl w:val="0"/>
          <w:numId w:val="6"/>
        </w:numPr>
        <w:spacing w:after="120" w:line="360" w:lineRule="auto"/>
        <w:ind w:firstLine="480"/>
        <w:rPr>
          <w:kern w:val="0"/>
          <w:szCs w:val="12"/>
          <w:lang w:bidi="ar"/>
        </w:rPr>
      </w:pPr>
      <w:r>
        <w:rPr>
          <w:kern w:val="0"/>
          <w:szCs w:val="12"/>
          <w:lang w:bidi="ar"/>
        </w:rPr>
        <w:t>课题的研究期限一般为</w:t>
      </w:r>
      <w:r>
        <w:rPr>
          <w:rFonts w:hint="eastAsia"/>
          <w:kern w:val="0"/>
          <w:szCs w:val="12"/>
          <w:lang w:bidi="ar"/>
        </w:rPr>
        <w:t>1</w:t>
      </w:r>
      <w:r>
        <w:rPr>
          <w:kern w:val="0"/>
          <w:szCs w:val="12"/>
          <w:lang w:bidi="ar"/>
        </w:rPr>
        <w:t>~</w:t>
      </w:r>
      <w:r>
        <w:rPr>
          <w:rFonts w:hint="eastAsia"/>
          <w:kern w:val="0"/>
          <w:szCs w:val="12"/>
          <w:lang w:bidi="ar"/>
        </w:rPr>
        <w:t>2</w:t>
      </w:r>
      <w:r>
        <w:rPr>
          <w:kern w:val="0"/>
          <w:szCs w:val="12"/>
          <w:lang w:bidi="ar"/>
        </w:rPr>
        <w:t>年，研究工作起始时间为</w:t>
      </w:r>
      <w:r>
        <w:rPr>
          <w:rFonts w:hint="eastAsia"/>
          <w:kern w:val="0"/>
          <w:szCs w:val="12"/>
          <w:lang w:bidi="ar"/>
        </w:rPr>
        <w:t>申请立项时间。</w:t>
      </w:r>
    </w:p>
    <w:p w14:paraId="1139C9D5">
      <w:pPr>
        <w:widowControl/>
        <w:numPr>
          <w:ilvl w:val="0"/>
          <w:numId w:val="6"/>
        </w:numPr>
        <w:spacing w:after="120" w:line="360" w:lineRule="auto"/>
        <w:ind w:firstLine="480"/>
        <w:rPr>
          <w:kern w:val="0"/>
          <w:szCs w:val="12"/>
          <w:lang w:bidi="ar"/>
        </w:rPr>
      </w:pPr>
      <w:r>
        <w:rPr>
          <w:kern w:val="0"/>
          <w:szCs w:val="12"/>
          <w:lang w:bidi="ar"/>
        </w:rPr>
        <w:t>每项课题资助经费一般为2～4万元人民币，经费和成果动态相关</w:t>
      </w:r>
      <w:r>
        <w:rPr>
          <w:rFonts w:hint="eastAsia"/>
          <w:kern w:val="0"/>
          <w:szCs w:val="12"/>
          <w:lang w:bidi="ar"/>
        </w:rPr>
        <w:t xml:space="preserve">。 </w:t>
      </w:r>
      <w:r>
        <w:rPr>
          <w:kern w:val="0"/>
          <w:szCs w:val="12"/>
          <w:lang w:bidi="ar"/>
        </w:rPr>
        <w:t>对于取得重要进展的课题，经实验室主任和学术委员会主任同意可以适当增加经费支持。</w:t>
      </w:r>
    </w:p>
    <w:p w14:paraId="7100A92C">
      <w:pPr>
        <w:widowControl/>
        <w:numPr>
          <w:ilvl w:val="0"/>
          <w:numId w:val="6"/>
        </w:numPr>
        <w:spacing w:after="120" w:line="360" w:lineRule="auto"/>
        <w:ind w:firstLine="480"/>
        <w:rPr>
          <w:kern w:val="0"/>
          <w:szCs w:val="12"/>
          <w:lang w:bidi="ar"/>
        </w:rPr>
      </w:pPr>
      <w:r>
        <w:rPr>
          <w:kern w:val="0"/>
          <w:szCs w:val="12"/>
          <w:lang w:bidi="ar"/>
        </w:rPr>
        <w:t>资助经费按广西区科技厅重点实验室经费管理办法严格执行。</w:t>
      </w:r>
    </w:p>
    <w:p w14:paraId="4166F10C">
      <w:pPr>
        <w:widowControl/>
        <w:spacing w:after="120" w:line="360" w:lineRule="auto"/>
        <w:ind w:firstLine="482"/>
        <w:rPr>
          <w:b/>
          <w:szCs w:val="12"/>
        </w:rPr>
      </w:pPr>
      <w:r>
        <w:rPr>
          <w:rFonts w:ascii="宋体" w:hAnsi="宋体" w:cs="宋体"/>
          <w:b/>
          <w:kern w:val="0"/>
          <w:szCs w:val="12"/>
          <w:lang w:bidi="ar"/>
        </w:rPr>
        <w:t>四、经费和项目管理</w:t>
      </w:r>
    </w:p>
    <w:p w14:paraId="253A4123">
      <w:pPr>
        <w:widowControl/>
        <w:numPr>
          <w:ilvl w:val="0"/>
          <w:numId w:val="7"/>
        </w:numPr>
        <w:spacing w:after="120" w:line="360" w:lineRule="auto"/>
        <w:ind w:left="0" w:firstLine="480"/>
        <w:rPr>
          <w:szCs w:val="12"/>
        </w:rPr>
      </w:pPr>
      <w:r>
        <w:rPr>
          <w:rFonts w:ascii="宋体" w:hAnsi="宋体" w:cs="宋体"/>
          <w:kern w:val="0"/>
          <w:szCs w:val="12"/>
          <w:lang w:bidi="ar"/>
        </w:rPr>
        <w:t>课题经费严格按照桂林电子科技大学科研经费管理办法及实验室开放课题管理规定执行，专款专用，接受财务与审计监督。</w:t>
      </w:r>
    </w:p>
    <w:p w14:paraId="46E1A525">
      <w:pPr>
        <w:widowControl/>
        <w:numPr>
          <w:ilvl w:val="0"/>
          <w:numId w:val="7"/>
        </w:numPr>
        <w:spacing w:after="120" w:line="360" w:lineRule="auto"/>
        <w:ind w:left="0" w:firstLine="480"/>
        <w:rPr>
          <w:szCs w:val="12"/>
        </w:rPr>
      </w:pPr>
      <w:r>
        <w:rPr>
          <w:rFonts w:ascii="宋体" w:hAnsi="宋体" w:cs="宋体"/>
          <w:kern w:val="0"/>
          <w:szCs w:val="12"/>
          <w:lang w:bidi="ar"/>
        </w:rPr>
        <w:t>实验室实行“立项—中期检查—结题验收”全流程管理，中期检查不合格者限期整改，整改</w:t>
      </w:r>
      <w:bookmarkStart w:id="0" w:name="_GoBack"/>
      <w:bookmarkEnd w:id="0"/>
      <w:r>
        <w:rPr>
          <w:rFonts w:ascii="宋体" w:hAnsi="宋体" w:cs="宋体"/>
          <w:kern w:val="0"/>
          <w:szCs w:val="12"/>
          <w:lang w:bidi="ar"/>
        </w:rPr>
        <w:t>仍不合格终止资助。</w:t>
      </w:r>
    </w:p>
    <w:p w14:paraId="59895694">
      <w:pPr>
        <w:widowControl/>
        <w:numPr>
          <w:ilvl w:val="0"/>
          <w:numId w:val="7"/>
        </w:numPr>
        <w:spacing w:after="120" w:line="360" w:lineRule="auto"/>
        <w:ind w:left="0" w:firstLine="480"/>
        <w:rPr>
          <w:szCs w:val="12"/>
        </w:rPr>
      </w:pPr>
      <w:r>
        <w:rPr>
          <w:rFonts w:ascii="宋体" w:hAnsi="宋体" w:cs="宋体"/>
          <w:kern w:val="0"/>
          <w:szCs w:val="12"/>
          <w:lang w:bidi="ar"/>
        </w:rPr>
        <w:t>开放课题优先支持与实验室固定人员</w:t>
      </w:r>
      <w:r>
        <w:rPr>
          <w:rFonts w:hint="eastAsia" w:ascii="宋体" w:hAnsi="宋体" w:cs="宋体"/>
          <w:kern w:val="0"/>
          <w:szCs w:val="12"/>
          <w:lang w:bidi="ar"/>
        </w:rPr>
        <w:t>开展</w:t>
      </w:r>
      <w:r>
        <w:rPr>
          <w:rFonts w:ascii="宋体" w:hAnsi="宋体" w:cs="宋体"/>
          <w:kern w:val="0"/>
          <w:szCs w:val="12"/>
          <w:lang w:bidi="ar"/>
        </w:rPr>
        <w:t>合作研究、共享平台设备、联合产出高水平成果的项目。</w:t>
      </w:r>
    </w:p>
    <w:p w14:paraId="04CB5951">
      <w:pPr>
        <w:widowControl/>
        <w:spacing w:after="120" w:line="360" w:lineRule="auto"/>
        <w:ind w:firstLine="482"/>
        <w:rPr>
          <w:b/>
          <w:szCs w:val="12"/>
        </w:rPr>
      </w:pPr>
      <w:r>
        <w:rPr>
          <w:rFonts w:ascii="宋体" w:hAnsi="宋体" w:cs="宋体"/>
          <w:b/>
          <w:kern w:val="0"/>
          <w:szCs w:val="12"/>
          <w:lang w:bidi="ar"/>
        </w:rPr>
        <w:t>五、申请程序</w:t>
      </w:r>
    </w:p>
    <w:p w14:paraId="2AE9C762">
      <w:pPr>
        <w:widowControl/>
        <w:numPr>
          <w:ilvl w:val="0"/>
          <w:numId w:val="8"/>
        </w:numPr>
        <w:tabs>
          <w:tab w:val="clear" w:pos="4080"/>
          <w:tab w:val="clear" w:pos="8160"/>
        </w:tabs>
        <w:spacing w:after="120" w:line="360" w:lineRule="auto"/>
        <w:ind w:firstLineChars="0"/>
        <w:rPr>
          <w:szCs w:val="12"/>
        </w:rPr>
      </w:pPr>
      <w:r>
        <w:rPr>
          <w:rFonts w:ascii="宋体" w:hAnsi="宋体" w:cs="宋体"/>
          <w:kern w:val="0"/>
          <w:szCs w:val="12"/>
          <w:lang w:bidi="ar"/>
        </w:rPr>
        <w:t xml:space="preserve">申请人填写《广西高校智能综合自动化重点实验室2026年度课题申请书》，经所在单位审核同意、加盖公章后，提交电子版（PDF 格式，插入电子签名）与纸质申请书原件（一式 </w:t>
      </w:r>
      <w:r>
        <w:rPr>
          <w:rFonts w:hint="eastAsia" w:ascii="宋体" w:hAnsi="宋体" w:cs="宋体"/>
          <w:kern w:val="0"/>
          <w:szCs w:val="12"/>
          <w:lang w:bidi="ar"/>
        </w:rPr>
        <w:t>3</w:t>
      </w:r>
      <w:r>
        <w:rPr>
          <w:rFonts w:ascii="宋体" w:hAnsi="宋体" w:cs="宋体"/>
          <w:kern w:val="0"/>
          <w:szCs w:val="12"/>
          <w:lang w:bidi="ar"/>
        </w:rPr>
        <w:t xml:space="preserve"> 份），电子版与纸质版内容必须完全一致</w:t>
      </w:r>
      <w:r>
        <w:rPr>
          <w:rFonts w:hint="eastAsia" w:ascii="宋体" w:hAnsi="宋体" w:cs="宋体"/>
          <w:kern w:val="0"/>
          <w:szCs w:val="12"/>
          <w:lang w:bidi="ar"/>
        </w:rPr>
        <w:t>，</w:t>
      </w:r>
      <w:r>
        <w:rPr>
          <w:rFonts w:hint="eastAsia"/>
          <w:szCs w:val="12"/>
        </w:rPr>
        <w:t>纸质申请书交到</w:t>
      </w:r>
      <w:r>
        <w:rPr>
          <w:rFonts w:ascii="宋体" w:hAnsi="宋体" w:cs="宋体"/>
          <w:kern w:val="0"/>
          <w:szCs w:val="12"/>
          <w:lang w:bidi="ar"/>
        </w:rPr>
        <w:t xml:space="preserve">桂林电子科技大学花江校区慧谷 3 号楼 </w:t>
      </w:r>
      <w:r>
        <w:rPr>
          <w:rFonts w:hint="eastAsia" w:ascii="宋体" w:hAnsi="宋体" w:cs="宋体"/>
          <w:kern w:val="0"/>
          <w:szCs w:val="12"/>
          <w:lang w:bidi="ar"/>
        </w:rPr>
        <w:t>1</w:t>
      </w:r>
      <w:r>
        <w:rPr>
          <w:rFonts w:ascii="宋体" w:hAnsi="宋体" w:cs="宋体"/>
          <w:kern w:val="0"/>
          <w:szCs w:val="12"/>
          <w:lang w:bidi="ar"/>
        </w:rPr>
        <w:t>0</w:t>
      </w:r>
      <w:r>
        <w:rPr>
          <w:rFonts w:hint="eastAsia" w:ascii="宋体" w:hAnsi="宋体" w:cs="宋体"/>
          <w:kern w:val="0"/>
          <w:szCs w:val="12"/>
          <w:lang w:bidi="ar"/>
        </w:rPr>
        <w:t>3。</w:t>
      </w:r>
    </w:p>
    <w:p w14:paraId="6BCD6BD1">
      <w:pPr>
        <w:widowControl/>
        <w:numPr>
          <w:ilvl w:val="0"/>
          <w:numId w:val="8"/>
        </w:numPr>
        <w:spacing w:after="120" w:line="360" w:lineRule="auto"/>
        <w:ind w:left="0" w:firstLine="480"/>
        <w:rPr>
          <w:szCs w:val="12"/>
        </w:rPr>
      </w:pPr>
      <w:r>
        <w:rPr>
          <w:rFonts w:ascii="宋体" w:hAnsi="宋体" w:cs="宋体"/>
          <w:kern w:val="0"/>
          <w:szCs w:val="12"/>
          <w:lang w:bidi="ar"/>
        </w:rPr>
        <w:t>邮件标题统一格式：2026 年度实验室课题申</w:t>
      </w:r>
      <w:r>
        <w:rPr>
          <w:rFonts w:hint="eastAsia" w:ascii="宋体" w:hAnsi="宋体" w:cs="宋体"/>
          <w:kern w:val="0"/>
          <w:szCs w:val="12"/>
          <w:lang w:bidi="ar"/>
        </w:rPr>
        <w:t>请</w:t>
      </w:r>
      <w:r>
        <w:rPr>
          <w:rFonts w:ascii="宋体" w:hAnsi="宋体" w:cs="宋体"/>
          <w:kern w:val="0"/>
          <w:szCs w:val="12"/>
          <w:lang w:bidi="ar"/>
        </w:rPr>
        <w:t>—课题类型（自主/开放）—申请人姓名，发送至邮箱：</w:t>
      </w:r>
      <w:r>
        <w:rPr>
          <w:rFonts w:hint="eastAsia" w:ascii="宋体" w:hAnsi="宋体" w:cs="宋体"/>
          <w:kern w:val="0"/>
          <w:szCs w:val="12"/>
          <w:lang w:bidi="ar"/>
        </w:rPr>
        <w:t>yjg</w:t>
      </w:r>
      <w:r>
        <w:rPr>
          <w:rFonts w:ascii="宋体" w:hAnsi="宋体" w:cs="宋体"/>
          <w:kern w:val="0"/>
          <w:szCs w:val="12"/>
          <w:lang w:bidi="ar"/>
        </w:rPr>
        <w:t>@guet.edu.cn。</w:t>
      </w:r>
    </w:p>
    <w:p w14:paraId="42AE14F5">
      <w:pPr>
        <w:widowControl/>
        <w:numPr>
          <w:ilvl w:val="0"/>
          <w:numId w:val="8"/>
        </w:numPr>
        <w:spacing w:after="120" w:line="360" w:lineRule="auto"/>
        <w:ind w:left="0" w:firstLine="480"/>
        <w:rPr>
          <w:szCs w:val="12"/>
        </w:rPr>
      </w:pPr>
      <w:r>
        <w:rPr>
          <w:rFonts w:ascii="宋体" w:hAnsi="宋体" w:cs="宋体"/>
          <w:kern w:val="0"/>
          <w:szCs w:val="12"/>
          <w:lang w:bidi="ar"/>
        </w:rPr>
        <w:t>申报截止日期</w:t>
      </w:r>
      <w:r>
        <w:rPr>
          <w:rFonts w:ascii="宋体" w:hAnsi="宋体" w:cs="宋体"/>
          <w:kern w:val="0"/>
          <w:szCs w:val="12"/>
          <w:highlight w:val="none"/>
          <w:lang w:bidi="ar"/>
        </w:rPr>
        <w:t>：2026 年</w:t>
      </w:r>
      <w:r>
        <w:rPr>
          <w:rFonts w:hint="eastAsia" w:ascii="宋体" w:hAnsi="宋体" w:cs="宋体"/>
          <w:kern w:val="0"/>
          <w:szCs w:val="12"/>
          <w:highlight w:val="none"/>
          <w:lang w:bidi="ar"/>
        </w:rPr>
        <w:t>7</w:t>
      </w:r>
      <w:r>
        <w:rPr>
          <w:rFonts w:ascii="宋体" w:hAnsi="宋体" w:cs="宋体"/>
          <w:kern w:val="0"/>
          <w:szCs w:val="12"/>
          <w:highlight w:val="none"/>
          <w:lang w:bidi="ar"/>
        </w:rPr>
        <w:t xml:space="preserve"> 月 </w:t>
      </w:r>
      <w:r>
        <w:rPr>
          <w:rFonts w:hint="eastAsia" w:ascii="宋体" w:hAnsi="宋体" w:cs="宋体"/>
          <w:kern w:val="0"/>
          <w:szCs w:val="12"/>
          <w:highlight w:val="none"/>
          <w:lang w:bidi="ar"/>
        </w:rPr>
        <w:t>25</w:t>
      </w:r>
      <w:r>
        <w:rPr>
          <w:rFonts w:ascii="宋体" w:hAnsi="宋体" w:cs="宋体"/>
          <w:kern w:val="0"/>
          <w:szCs w:val="12"/>
          <w:highlight w:val="none"/>
          <w:lang w:bidi="ar"/>
        </w:rPr>
        <w:t xml:space="preserve"> 日</w:t>
      </w:r>
      <w:r>
        <w:rPr>
          <w:rFonts w:ascii="宋体" w:hAnsi="宋体" w:cs="宋体"/>
          <w:kern w:val="0"/>
          <w:szCs w:val="12"/>
          <w:lang w:bidi="ar"/>
        </w:rPr>
        <w:t>（以邮件发送时间为准，逾期不予受理）。</w:t>
      </w:r>
    </w:p>
    <w:p w14:paraId="2B66C15D">
      <w:pPr>
        <w:widowControl/>
        <w:numPr>
          <w:ilvl w:val="0"/>
          <w:numId w:val="8"/>
        </w:numPr>
        <w:spacing w:after="120" w:line="360" w:lineRule="auto"/>
        <w:ind w:left="0" w:firstLine="480"/>
        <w:rPr>
          <w:szCs w:val="12"/>
        </w:rPr>
      </w:pPr>
      <w:r>
        <w:rPr>
          <w:rFonts w:ascii="宋体" w:hAnsi="宋体" w:cs="宋体"/>
          <w:kern w:val="0"/>
          <w:szCs w:val="12"/>
          <w:lang w:bidi="ar"/>
        </w:rPr>
        <w:t>实验室组织学术委员会与同行专家进行评审，坚持 “公平公正、择优资助” 原则，确定立项名单并公示。</w:t>
      </w:r>
    </w:p>
    <w:p w14:paraId="2014D5C5">
      <w:pPr>
        <w:widowControl/>
        <w:spacing w:after="120" w:line="360" w:lineRule="auto"/>
        <w:ind w:firstLine="482"/>
        <w:rPr>
          <w:b/>
          <w:szCs w:val="12"/>
        </w:rPr>
      </w:pPr>
      <w:r>
        <w:rPr>
          <w:rFonts w:ascii="宋体" w:hAnsi="宋体" w:cs="宋体"/>
          <w:b/>
          <w:kern w:val="0"/>
          <w:szCs w:val="12"/>
          <w:lang w:bidi="ar"/>
        </w:rPr>
        <w:t>六、不予受理情形</w:t>
      </w:r>
    </w:p>
    <w:p w14:paraId="5A5996E5">
      <w:pPr>
        <w:widowControl/>
        <w:numPr>
          <w:ilvl w:val="0"/>
          <w:numId w:val="9"/>
        </w:numPr>
        <w:spacing w:after="120" w:line="360" w:lineRule="auto"/>
        <w:ind w:left="0" w:firstLine="480"/>
        <w:rPr>
          <w:szCs w:val="12"/>
        </w:rPr>
      </w:pPr>
      <w:r>
        <w:rPr>
          <w:rFonts w:ascii="宋体" w:hAnsi="宋体" w:cs="宋体"/>
          <w:kern w:val="0"/>
          <w:szCs w:val="12"/>
          <w:lang w:bidi="ar"/>
        </w:rPr>
        <w:t>不符合指南规定研究方向；</w:t>
      </w:r>
    </w:p>
    <w:p w14:paraId="39FEAF1A">
      <w:pPr>
        <w:widowControl/>
        <w:numPr>
          <w:ilvl w:val="0"/>
          <w:numId w:val="9"/>
        </w:numPr>
        <w:spacing w:after="120" w:line="360" w:lineRule="auto"/>
        <w:ind w:left="0" w:firstLine="480"/>
        <w:rPr>
          <w:szCs w:val="12"/>
        </w:rPr>
      </w:pPr>
      <w:r>
        <w:rPr>
          <w:rFonts w:ascii="宋体" w:hAnsi="宋体" w:cs="宋体"/>
          <w:kern w:val="0"/>
          <w:szCs w:val="12"/>
          <w:lang w:bidi="ar"/>
        </w:rPr>
        <w:t>未按申请书格式规范填报；</w:t>
      </w:r>
    </w:p>
    <w:p w14:paraId="7A903F19">
      <w:pPr>
        <w:widowControl/>
        <w:numPr>
          <w:ilvl w:val="0"/>
          <w:numId w:val="9"/>
        </w:numPr>
        <w:spacing w:after="120" w:line="360" w:lineRule="auto"/>
        <w:ind w:left="0" w:firstLine="480"/>
        <w:rPr>
          <w:szCs w:val="12"/>
        </w:rPr>
      </w:pPr>
      <w:r>
        <w:rPr>
          <w:rFonts w:ascii="宋体" w:hAnsi="宋体" w:cs="宋体"/>
          <w:kern w:val="0"/>
          <w:szCs w:val="12"/>
          <w:lang w:bidi="ar"/>
        </w:rPr>
        <w:t>超过申报截止日期提交；</w:t>
      </w:r>
    </w:p>
    <w:p w14:paraId="0AD1AD4D">
      <w:pPr>
        <w:widowControl/>
        <w:numPr>
          <w:ilvl w:val="0"/>
          <w:numId w:val="9"/>
        </w:numPr>
        <w:spacing w:after="120" w:line="360" w:lineRule="auto"/>
        <w:ind w:left="0" w:firstLine="480"/>
        <w:rPr>
          <w:szCs w:val="12"/>
        </w:rPr>
      </w:pPr>
      <w:r>
        <w:rPr>
          <w:rFonts w:ascii="宋体" w:hAnsi="宋体" w:cs="宋体"/>
          <w:kern w:val="0"/>
          <w:szCs w:val="12"/>
          <w:lang w:bidi="ar"/>
        </w:rPr>
        <w:t>申请人资格不符、存在学术不端或重复申报。</w:t>
      </w:r>
    </w:p>
    <w:p w14:paraId="28F22955">
      <w:pPr>
        <w:widowControl/>
        <w:spacing w:after="120" w:line="360" w:lineRule="auto"/>
        <w:ind w:firstLine="482"/>
        <w:rPr>
          <w:b/>
          <w:szCs w:val="12"/>
        </w:rPr>
      </w:pPr>
      <w:r>
        <w:rPr>
          <w:rFonts w:ascii="宋体" w:hAnsi="宋体" w:cs="宋体"/>
          <w:b/>
          <w:kern w:val="0"/>
          <w:szCs w:val="12"/>
          <w:lang w:bidi="ar"/>
        </w:rPr>
        <w:t>七、联系方式</w:t>
      </w:r>
    </w:p>
    <w:p w14:paraId="6D286ADB">
      <w:pPr>
        <w:widowControl/>
        <w:numPr>
          <w:ilvl w:val="0"/>
          <w:numId w:val="10"/>
        </w:numPr>
        <w:spacing w:after="120" w:line="360" w:lineRule="auto"/>
        <w:ind w:left="0" w:firstLine="480"/>
        <w:rPr>
          <w:szCs w:val="12"/>
        </w:rPr>
      </w:pPr>
      <w:r>
        <w:rPr>
          <w:rFonts w:ascii="宋体" w:hAnsi="宋体" w:cs="宋体"/>
          <w:kern w:val="0"/>
          <w:szCs w:val="12"/>
          <w:lang w:bidi="ar"/>
        </w:rPr>
        <w:t xml:space="preserve">联系地址：桂林电子科技大学花江校区慧谷 3 号楼 </w:t>
      </w:r>
      <w:r>
        <w:rPr>
          <w:rFonts w:hint="eastAsia" w:ascii="宋体" w:hAnsi="宋体" w:cs="宋体"/>
          <w:kern w:val="0"/>
          <w:szCs w:val="12"/>
          <w:lang w:bidi="ar"/>
        </w:rPr>
        <w:t>1</w:t>
      </w:r>
      <w:r>
        <w:rPr>
          <w:rFonts w:ascii="宋体" w:hAnsi="宋体" w:cs="宋体"/>
          <w:kern w:val="0"/>
          <w:szCs w:val="12"/>
          <w:lang w:bidi="ar"/>
        </w:rPr>
        <w:t>0</w:t>
      </w:r>
      <w:r>
        <w:rPr>
          <w:rFonts w:hint="eastAsia" w:ascii="宋体" w:hAnsi="宋体" w:cs="宋体"/>
          <w:kern w:val="0"/>
          <w:szCs w:val="12"/>
          <w:lang w:bidi="ar"/>
        </w:rPr>
        <w:t>3</w:t>
      </w:r>
    </w:p>
    <w:p w14:paraId="68597704">
      <w:pPr>
        <w:widowControl/>
        <w:numPr>
          <w:ilvl w:val="0"/>
          <w:numId w:val="10"/>
        </w:numPr>
        <w:spacing w:after="120" w:line="360" w:lineRule="auto"/>
        <w:ind w:left="0" w:firstLine="480"/>
        <w:rPr>
          <w:szCs w:val="12"/>
        </w:rPr>
      </w:pPr>
      <w:r>
        <w:rPr>
          <w:rFonts w:ascii="宋体" w:hAnsi="宋体" w:cs="宋体"/>
          <w:kern w:val="0"/>
          <w:szCs w:val="12"/>
          <w:lang w:bidi="ar"/>
        </w:rPr>
        <w:t>电子邮箱：</w:t>
      </w:r>
      <w:r>
        <w:rPr>
          <w:rFonts w:hint="eastAsia" w:ascii="宋体" w:hAnsi="宋体" w:cs="宋体"/>
          <w:kern w:val="0"/>
          <w:szCs w:val="12"/>
          <w:lang w:bidi="ar"/>
        </w:rPr>
        <w:t>yjg</w:t>
      </w:r>
      <w:r>
        <w:rPr>
          <w:rFonts w:ascii="宋体" w:hAnsi="宋体" w:cs="宋体"/>
          <w:kern w:val="0"/>
          <w:szCs w:val="12"/>
          <w:lang w:bidi="ar"/>
        </w:rPr>
        <w:t>@guet.edu.cn</w:t>
      </w:r>
    </w:p>
    <w:p w14:paraId="4B37C871">
      <w:pPr>
        <w:widowControl/>
        <w:numPr>
          <w:ilvl w:val="0"/>
          <w:numId w:val="10"/>
        </w:numPr>
        <w:spacing w:after="120" w:line="360" w:lineRule="auto"/>
        <w:ind w:left="0" w:firstLine="480"/>
        <w:rPr>
          <w:szCs w:val="12"/>
        </w:rPr>
      </w:pPr>
      <w:r>
        <w:rPr>
          <w:rFonts w:ascii="宋体" w:hAnsi="宋体" w:cs="宋体"/>
          <w:kern w:val="0"/>
          <w:szCs w:val="12"/>
          <w:lang w:bidi="ar"/>
        </w:rPr>
        <w:t>联系人：</w:t>
      </w:r>
      <w:r>
        <w:rPr>
          <w:rFonts w:hint="eastAsia" w:ascii="宋体" w:hAnsi="宋体" w:cs="宋体"/>
          <w:kern w:val="0"/>
          <w:szCs w:val="12"/>
          <w:lang w:bidi="ar"/>
        </w:rPr>
        <w:t>杨建刚</w:t>
      </w:r>
    </w:p>
    <w:p w14:paraId="361177C9">
      <w:pPr>
        <w:widowControl/>
        <w:spacing w:line="180" w:lineRule="atLeast"/>
        <w:ind w:firstLine="480"/>
        <w:jc w:val="right"/>
        <w:rPr>
          <w:rFonts w:hint="eastAsia" w:ascii="宋体" w:hAnsi="宋体" w:cs="宋体"/>
          <w:kern w:val="0"/>
          <w:szCs w:val="12"/>
          <w:lang w:bidi="ar"/>
        </w:rPr>
      </w:pPr>
    </w:p>
    <w:p w14:paraId="572D209A">
      <w:pPr>
        <w:widowControl/>
        <w:spacing w:line="180" w:lineRule="atLeast"/>
        <w:ind w:firstLine="480"/>
        <w:jc w:val="right"/>
        <w:rPr>
          <w:rFonts w:hint="eastAsia" w:ascii="宋体" w:hAnsi="宋体" w:cs="宋体"/>
          <w:kern w:val="0"/>
          <w:szCs w:val="12"/>
          <w:lang w:bidi="ar"/>
        </w:rPr>
      </w:pPr>
      <w:r>
        <w:rPr>
          <w:rFonts w:ascii="宋体" w:hAnsi="宋体" w:cs="宋体"/>
          <w:kern w:val="0"/>
          <w:szCs w:val="12"/>
          <w:lang w:bidi="ar"/>
        </w:rPr>
        <w:t>广西高校智能综合自动化重点实验室</w:t>
      </w:r>
    </w:p>
    <w:p w14:paraId="794891D4">
      <w:pPr>
        <w:widowControl/>
        <w:spacing w:line="180" w:lineRule="atLeast"/>
        <w:ind w:firstLine="480"/>
        <w:jc w:val="right"/>
        <w:rPr>
          <w:rFonts w:hint="eastAsia" w:ascii="宋体" w:hAnsi="宋体" w:cs="宋体"/>
          <w:kern w:val="0"/>
          <w:szCs w:val="12"/>
          <w:lang w:bidi="ar"/>
        </w:rPr>
      </w:pPr>
    </w:p>
    <w:p w14:paraId="700F62B5">
      <w:pPr>
        <w:widowControl/>
        <w:spacing w:line="180" w:lineRule="atLeast"/>
        <w:ind w:firstLine="480"/>
        <w:jc w:val="right"/>
        <w:rPr>
          <w:szCs w:val="12"/>
          <w:highlight w:val="yellow"/>
        </w:rPr>
      </w:pPr>
      <w:r>
        <w:rPr>
          <w:rFonts w:ascii="宋体" w:hAnsi="宋体" w:cs="宋体"/>
          <w:kern w:val="0"/>
          <w:szCs w:val="12"/>
          <w:highlight w:val="none"/>
          <w:lang w:bidi="ar"/>
        </w:rPr>
        <w:t xml:space="preserve">2026 年 </w:t>
      </w:r>
      <w:r>
        <w:rPr>
          <w:rFonts w:hint="eastAsia" w:ascii="宋体" w:hAnsi="宋体" w:cs="宋体"/>
          <w:kern w:val="0"/>
          <w:szCs w:val="12"/>
          <w:highlight w:val="none"/>
          <w:lang w:bidi="ar"/>
        </w:rPr>
        <w:t>7</w:t>
      </w:r>
      <w:r>
        <w:rPr>
          <w:rFonts w:ascii="宋体" w:hAnsi="宋体" w:cs="宋体"/>
          <w:kern w:val="0"/>
          <w:szCs w:val="12"/>
          <w:highlight w:val="none"/>
          <w:lang w:bidi="ar"/>
        </w:rPr>
        <w:t xml:space="preserve"> 月 </w:t>
      </w:r>
      <w:r>
        <w:rPr>
          <w:rFonts w:hint="eastAsia" w:ascii="宋体" w:hAnsi="宋体" w:cs="宋体"/>
          <w:kern w:val="0"/>
          <w:szCs w:val="12"/>
          <w:highlight w:val="none"/>
          <w:lang w:bidi="ar"/>
        </w:rPr>
        <w:t>2</w:t>
      </w:r>
      <w:r>
        <w:rPr>
          <w:rFonts w:ascii="宋体" w:hAnsi="宋体" w:cs="宋体"/>
          <w:kern w:val="0"/>
          <w:szCs w:val="12"/>
          <w:highlight w:val="none"/>
          <w:lang w:bidi="ar"/>
        </w:rPr>
        <w:t xml:space="preserve"> 日</w:t>
      </w:r>
    </w:p>
    <w:p w14:paraId="194A9ACA">
      <w:pPr>
        <w:tabs>
          <w:tab w:val="left" w:pos="1430"/>
          <w:tab w:val="clear" w:pos="4080"/>
        </w:tabs>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5EAFC8-13F0-47EB-BEE2-8465484BC6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AAD83">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E3B5C">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CE888">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ind w:firstLine="480"/>
      </w:pPr>
      <w:r>
        <w:separator/>
      </w:r>
    </w:p>
  </w:footnote>
  <w:footnote w:type="continuationSeparator" w:id="1">
    <w:p>
      <w:pPr>
        <w:spacing w:line="48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E6269">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317FD">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8C325">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994C0F"/>
    <w:multiLevelType w:val="multilevel"/>
    <w:tmpl w:val="8A994C0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B5865FEC"/>
    <w:multiLevelType w:val="singleLevel"/>
    <w:tmpl w:val="B5865FEC"/>
    <w:lvl w:ilvl="0" w:tentative="0">
      <w:start w:val="1"/>
      <w:numFmt w:val="decimal"/>
      <w:lvlText w:val="(%1)"/>
      <w:lvlJc w:val="left"/>
      <w:pPr>
        <w:ind w:left="425" w:hanging="425"/>
      </w:pPr>
      <w:rPr>
        <w:rFonts w:hint="default"/>
      </w:rPr>
    </w:lvl>
  </w:abstractNum>
  <w:abstractNum w:abstractNumId="2">
    <w:nsid w:val="E983BD43"/>
    <w:multiLevelType w:val="singleLevel"/>
    <w:tmpl w:val="E983BD43"/>
    <w:lvl w:ilvl="0" w:tentative="0">
      <w:start w:val="3"/>
      <w:numFmt w:val="chineseCounting"/>
      <w:suff w:val="nothing"/>
      <w:lvlText w:val="%1、"/>
      <w:lvlJc w:val="left"/>
      <w:rPr>
        <w:rFonts w:hint="eastAsia"/>
      </w:rPr>
    </w:lvl>
  </w:abstractNum>
  <w:abstractNum w:abstractNumId="3">
    <w:nsid w:val="EDAD5DC9"/>
    <w:multiLevelType w:val="multilevel"/>
    <w:tmpl w:val="EDAD5DC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F491C03A"/>
    <w:multiLevelType w:val="singleLevel"/>
    <w:tmpl w:val="F491C03A"/>
    <w:lvl w:ilvl="0" w:tentative="0">
      <w:start w:val="1"/>
      <w:numFmt w:val="decimal"/>
      <w:lvlText w:val="(%1)"/>
      <w:lvlJc w:val="left"/>
      <w:pPr>
        <w:ind w:left="425" w:hanging="425"/>
      </w:pPr>
      <w:rPr>
        <w:rFonts w:hint="default"/>
      </w:rPr>
    </w:lvl>
  </w:abstractNum>
  <w:abstractNum w:abstractNumId="5">
    <w:nsid w:val="2D24A1DA"/>
    <w:multiLevelType w:val="multilevel"/>
    <w:tmpl w:val="2D24A1D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38394389"/>
    <w:multiLevelType w:val="singleLevel"/>
    <w:tmpl w:val="38394389"/>
    <w:lvl w:ilvl="0" w:tentative="0">
      <w:start w:val="1"/>
      <w:numFmt w:val="decimal"/>
      <w:lvlText w:val="(%1)"/>
      <w:lvlJc w:val="left"/>
      <w:pPr>
        <w:ind w:left="425" w:hanging="425"/>
      </w:pPr>
      <w:rPr>
        <w:rFonts w:hint="default"/>
      </w:rPr>
    </w:lvl>
  </w:abstractNum>
  <w:abstractNum w:abstractNumId="7">
    <w:nsid w:val="3BC78EB4"/>
    <w:multiLevelType w:val="multilevel"/>
    <w:tmpl w:val="3BC78EB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4C26C32A"/>
    <w:multiLevelType w:val="singleLevel"/>
    <w:tmpl w:val="4C26C32A"/>
    <w:lvl w:ilvl="0" w:tentative="0">
      <w:start w:val="1"/>
      <w:numFmt w:val="decimal"/>
      <w:suff w:val="space"/>
      <w:lvlText w:val="%1."/>
      <w:lvlJc w:val="left"/>
    </w:lvl>
  </w:abstractNum>
  <w:abstractNum w:abstractNumId="9">
    <w:nsid w:val="50B33900"/>
    <w:multiLevelType w:val="multilevel"/>
    <w:tmpl w:val="50B3390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
  </w:num>
  <w:num w:numId="2">
    <w:abstractNumId w:val="4"/>
  </w:num>
  <w:num w:numId="3">
    <w:abstractNumId w:val="6"/>
  </w:num>
  <w:num w:numId="4">
    <w:abstractNumId w:val="9"/>
  </w:num>
  <w:num w:numId="5">
    <w:abstractNumId w:val="2"/>
  </w:num>
  <w:num w:numId="6">
    <w:abstractNumId w:val="8"/>
  </w:num>
  <w:num w:numId="7">
    <w:abstractNumId w:val="7"/>
  </w:num>
  <w:num w:numId="8">
    <w:abstractNumId w:val="0"/>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45F"/>
    <w:rsid w:val="000F3A95"/>
    <w:rsid w:val="0011072F"/>
    <w:rsid w:val="00165A7C"/>
    <w:rsid w:val="002557F7"/>
    <w:rsid w:val="002A42A2"/>
    <w:rsid w:val="003029CC"/>
    <w:rsid w:val="00381477"/>
    <w:rsid w:val="003C3C00"/>
    <w:rsid w:val="003E757E"/>
    <w:rsid w:val="00403770"/>
    <w:rsid w:val="00502CBB"/>
    <w:rsid w:val="005F7C8C"/>
    <w:rsid w:val="006454BD"/>
    <w:rsid w:val="0067694A"/>
    <w:rsid w:val="006B603E"/>
    <w:rsid w:val="00847FA0"/>
    <w:rsid w:val="008571D7"/>
    <w:rsid w:val="00A25F80"/>
    <w:rsid w:val="00A4124C"/>
    <w:rsid w:val="00B27EA7"/>
    <w:rsid w:val="00B807D2"/>
    <w:rsid w:val="00B95B76"/>
    <w:rsid w:val="00CF3752"/>
    <w:rsid w:val="00D50B88"/>
    <w:rsid w:val="00DD645F"/>
    <w:rsid w:val="00E33D06"/>
    <w:rsid w:val="02A91D81"/>
    <w:rsid w:val="042C45F3"/>
    <w:rsid w:val="06824E13"/>
    <w:rsid w:val="0BAD4690"/>
    <w:rsid w:val="167A21E6"/>
    <w:rsid w:val="18036F32"/>
    <w:rsid w:val="21BC42D9"/>
    <w:rsid w:val="24B14D99"/>
    <w:rsid w:val="265B5387"/>
    <w:rsid w:val="299B5324"/>
    <w:rsid w:val="2F634EE2"/>
    <w:rsid w:val="2F935C5D"/>
    <w:rsid w:val="2FF86D6C"/>
    <w:rsid w:val="31E6097E"/>
    <w:rsid w:val="33557238"/>
    <w:rsid w:val="348E0A6F"/>
    <w:rsid w:val="377C1237"/>
    <w:rsid w:val="4548374C"/>
    <w:rsid w:val="463A71EF"/>
    <w:rsid w:val="479B74B7"/>
    <w:rsid w:val="47B2035D"/>
    <w:rsid w:val="4864156E"/>
    <w:rsid w:val="487B1A7F"/>
    <w:rsid w:val="4C78570B"/>
    <w:rsid w:val="4C871729"/>
    <w:rsid w:val="4DC40DEA"/>
    <w:rsid w:val="4F4440D3"/>
    <w:rsid w:val="4F8E16AF"/>
    <w:rsid w:val="53C6593E"/>
    <w:rsid w:val="565D3B8A"/>
    <w:rsid w:val="57805B1E"/>
    <w:rsid w:val="5A0E1D6B"/>
    <w:rsid w:val="5DC56BE4"/>
    <w:rsid w:val="6022031E"/>
    <w:rsid w:val="6151253D"/>
    <w:rsid w:val="62342F5E"/>
    <w:rsid w:val="63A454EE"/>
    <w:rsid w:val="645E744B"/>
    <w:rsid w:val="6A682DD1"/>
    <w:rsid w:val="6D9C6889"/>
    <w:rsid w:val="6DF334C3"/>
    <w:rsid w:val="6ED00915"/>
    <w:rsid w:val="7F460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center" w:pos="4080"/>
        <w:tab w:val="right" w:pos="8160"/>
      </w:tabs>
      <w:spacing w:line="480" w:lineRule="auto"/>
      <w:ind w:firstLine="200" w:firstLineChars="200"/>
      <w:jc w:val="both"/>
      <w:textAlignment w:val="center"/>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footer"/>
    <w:basedOn w:val="1"/>
    <w:link w:val="11"/>
    <w:uiPriority w:val="0"/>
    <w:pPr>
      <w:tabs>
        <w:tab w:val="center" w:pos="4153"/>
        <w:tab w:val="right" w:pos="8306"/>
        <w:tab w:val="clear" w:pos="4080"/>
        <w:tab w:val="clear" w:pos="8160"/>
      </w:tabs>
      <w:snapToGrid w:val="0"/>
      <w:spacing w:line="240" w:lineRule="auto"/>
      <w:jc w:val="left"/>
    </w:pPr>
    <w:rPr>
      <w:sz w:val="18"/>
      <w:szCs w:val="18"/>
    </w:rPr>
  </w:style>
  <w:style w:type="paragraph" w:styleId="6">
    <w:name w:val="header"/>
    <w:basedOn w:val="1"/>
    <w:link w:val="10"/>
    <w:uiPriority w:val="0"/>
    <w:pPr>
      <w:tabs>
        <w:tab w:val="center" w:pos="4153"/>
        <w:tab w:val="right" w:pos="8306"/>
        <w:tab w:val="clear" w:pos="4080"/>
        <w:tab w:val="clear" w:pos="8160"/>
      </w:tabs>
      <w:snapToGrid w:val="0"/>
      <w:spacing w:line="240" w:lineRule="auto"/>
      <w:jc w:val="center"/>
    </w:pPr>
    <w:rPr>
      <w:sz w:val="18"/>
      <w:szCs w:val="18"/>
    </w:rPr>
  </w:style>
  <w:style w:type="character" w:styleId="9">
    <w:name w:val="Strong"/>
    <w:basedOn w:val="8"/>
    <w:qFormat/>
    <w:uiPriority w:val="0"/>
    <w:rPr>
      <w:b/>
    </w:rPr>
  </w:style>
  <w:style w:type="character" w:customStyle="1" w:styleId="10">
    <w:name w:val="页眉 字符"/>
    <w:basedOn w:val="8"/>
    <w:link w:val="6"/>
    <w:uiPriority w:val="0"/>
    <w:rPr>
      <w:kern w:val="2"/>
      <w:sz w:val="18"/>
      <w:szCs w:val="18"/>
    </w:rPr>
  </w:style>
  <w:style w:type="character" w:customStyle="1" w:styleId="11">
    <w:name w:val="页脚 字符"/>
    <w:basedOn w:val="8"/>
    <w:link w:val="5"/>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1782</Words>
  <Characters>1906</Characters>
  <Lines>45</Lines>
  <Paragraphs>55</Paragraphs>
  <TotalTime>334</TotalTime>
  <ScaleCrop>false</ScaleCrop>
  <LinksUpToDate>false</LinksUpToDate>
  <CharactersWithSpaces>1941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2025-05-30T13:00:00Z</dcterms:created>
  <dc:creator>youngten</dc:creator>
  <cp:lastModifiedBy>黄旭</cp:lastModifiedBy>
  <cp:lastPrinted>2026-07-02T01:51:00Z</cp:lastPrinted>
  <dcterms:modified xsi:type="dcterms:W3CDTF">2026-07-14T08:03:49Z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F359B1573CC2475F90A8C45CA4E42876_13</vt:lpwstr>
  </property>
  <property fmtid="{D5CDD505-2E9C-101B-9397-08002B2CF9AE}" pid="4" name="KSOTemplateDocerSaveRecord">
    <vt:lpwstr>eyJoZGlkIjoiMWI4NjI3ZjVlNzlkNTdlY2IxMWZlNDNlNGMzYzYwNDMiLCJ1c2VySWQiOiI0MDQxMTE3NjcifQ==</vt:lpwstr>
  </property>
</Properties>
</file>