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7D9E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小标宋简体" w:hAnsi="宋体" w:eastAsia="方正小标宋简体"/>
          <w:sz w:val="36"/>
          <w:szCs w:val="36"/>
        </w:rPr>
      </w:pPr>
      <w:r>
        <w:rPr>
          <w:rFonts w:ascii="方正小标宋简体" w:hAnsi="宋体" w:eastAsia="方正小标宋简体"/>
          <w:sz w:val="36"/>
          <w:szCs w:val="36"/>
        </w:rPr>
        <w:t>202</w:t>
      </w:r>
      <w:r>
        <w:rPr>
          <w:rFonts w:hint="eastAsia" w:ascii="方正小标宋简体" w:hAnsi="宋体" w:eastAsia="方正小标宋简体"/>
          <w:sz w:val="36"/>
          <w:szCs w:val="36"/>
          <w:lang w:val="en-US" w:eastAsia="zh-CN"/>
        </w:rPr>
        <w:t>6</w:t>
      </w:r>
      <w:r>
        <w:rPr>
          <w:rFonts w:hint="eastAsia" w:ascii="方正小标宋简体" w:hAnsi="宋体" w:eastAsia="方正小标宋简体"/>
          <w:sz w:val="36"/>
          <w:szCs w:val="36"/>
        </w:rPr>
        <w:t>年度广西科学技术奖提名公示内容</w:t>
      </w:r>
    </w:p>
    <w:p w14:paraId="31C0F7AA">
      <w:pPr>
        <w:keepNext w:val="0"/>
        <w:keepLines w:val="0"/>
        <w:pageBreakBefore w:val="0"/>
        <w:widowControl/>
        <w:kinsoku/>
        <w:wordWrap/>
        <w:overflowPunct/>
        <w:topLinePunct w:val="0"/>
        <w:autoSpaceDE/>
        <w:autoSpaceDN/>
        <w:bidi w:val="0"/>
        <w:adjustRightInd/>
        <w:snapToGrid/>
        <w:spacing w:line="560" w:lineRule="exact"/>
        <w:ind w:firstLine="600" w:firstLineChars="200"/>
        <w:jc w:val="center"/>
        <w:textAlignment w:val="auto"/>
        <w:rPr>
          <w:rFonts w:hint="eastAsia" w:ascii="方正小标宋简体" w:hAnsi="宋体" w:eastAsia="方正小标宋简体"/>
          <w:sz w:val="30"/>
          <w:szCs w:val="30"/>
        </w:rPr>
      </w:pPr>
      <w:r>
        <w:rPr>
          <w:rFonts w:hint="eastAsia" w:ascii="方正小标宋简体" w:hAnsi="宋体" w:eastAsia="方正小标宋简体"/>
          <w:sz w:val="30"/>
          <w:szCs w:val="30"/>
        </w:rPr>
        <w:t>（科技进步奖）</w:t>
      </w:r>
    </w:p>
    <w:p w14:paraId="783F5C72">
      <w:pPr>
        <w:widowControl/>
        <w:spacing w:line="520" w:lineRule="exact"/>
        <w:jc w:val="left"/>
        <w:rPr>
          <w:rFonts w:hint="default" w:ascii="仿宋" w:hAnsi="仿宋" w:eastAsia="仿宋"/>
          <w:b/>
          <w:sz w:val="28"/>
          <w:szCs w:val="28"/>
          <w:lang w:val="en-US" w:eastAsia="zh-CN"/>
        </w:rPr>
      </w:pPr>
      <w:r>
        <w:rPr>
          <w:rFonts w:hint="eastAsia" w:ascii="仿宋" w:hAnsi="仿宋" w:eastAsia="仿宋"/>
          <w:b/>
          <w:sz w:val="28"/>
          <w:szCs w:val="28"/>
        </w:rPr>
        <w:t>一、成果名称：</w:t>
      </w:r>
      <w:r>
        <w:rPr>
          <w:rFonts w:hint="eastAsia" w:ascii="仿宋" w:hAnsi="仿宋" w:eastAsia="仿宋" w:cs="Times New Roman"/>
          <w:sz w:val="28"/>
          <w:szCs w:val="28"/>
          <w:lang w:val="en-US" w:eastAsia="zh-CN"/>
        </w:rPr>
        <w:t>免锚固装配式道路护栏设计与制造关键技术及应用</w:t>
      </w:r>
    </w:p>
    <w:p w14:paraId="497DE8FD">
      <w:pPr>
        <w:widowControl/>
        <w:spacing w:line="520" w:lineRule="exact"/>
        <w:jc w:val="left"/>
        <w:rPr>
          <w:rFonts w:hint="eastAsia" w:ascii="仿宋" w:hAnsi="仿宋" w:eastAsia="仿宋"/>
          <w:sz w:val="28"/>
          <w:szCs w:val="28"/>
          <w:lang w:val="en-US" w:eastAsia="zh-CN"/>
        </w:rPr>
      </w:pPr>
      <w:r>
        <w:rPr>
          <w:rFonts w:hint="eastAsia" w:ascii="仿宋" w:hAnsi="仿宋" w:eastAsia="仿宋"/>
          <w:b/>
          <w:sz w:val="28"/>
          <w:szCs w:val="28"/>
        </w:rPr>
        <w:t>二、提名者：</w:t>
      </w:r>
      <w:r>
        <w:rPr>
          <w:rFonts w:hint="eastAsia" w:ascii="仿宋" w:hAnsi="仿宋" w:eastAsia="仿宋"/>
          <w:sz w:val="28"/>
          <w:szCs w:val="28"/>
        </w:rPr>
        <w:t>自治区</w:t>
      </w:r>
      <w:r>
        <w:rPr>
          <w:rFonts w:hint="eastAsia" w:ascii="仿宋" w:hAnsi="仿宋" w:eastAsia="仿宋"/>
          <w:sz w:val="28"/>
          <w:szCs w:val="28"/>
          <w:lang w:val="en-US" w:eastAsia="zh-CN"/>
        </w:rPr>
        <w:t>交通厅</w:t>
      </w:r>
      <w:bookmarkStart w:id="0" w:name="_GoBack"/>
      <w:bookmarkEnd w:id="0"/>
    </w:p>
    <w:p w14:paraId="451F5E39">
      <w:pPr>
        <w:widowControl/>
        <w:spacing w:line="520" w:lineRule="exact"/>
        <w:jc w:val="left"/>
        <w:rPr>
          <w:rFonts w:hint="default" w:ascii="仿宋" w:hAnsi="仿宋" w:eastAsia="仿宋"/>
          <w:sz w:val="28"/>
          <w:szCs w:val="28"/>
          <w:lang w:val="en-US" w:eastAsia="zh-CN"/>
        </w:rPr>
      </w:pPr>
      <w:r>
        <w:rPr>
          <w:rFonts w:hint="eastAsia" w:ascii="仿宋" w:hAnsi="仿宋" w:eastAsia="仿宋"/>
          <w:b/>
          <w:sz w:val="28"/>
          <w:szCs w:val="28"/>
          <w:lang w:val="en-US" w:eastAsia="zh-CN"/>
        </w:rPr>
        <w:t>三</w:t>
      </w:r>
      <w:r>
        <w:rPr>
          <w:rFonts w:hint="eastAsia" w:ascii="仿宋" w:hAnsi="仿宋" w:eastAsia="仿宋"/>
          <w:b/>
          <w:sz w:val="28"/>
          <w:szCs w:val="28"/>
        </w:rPr>
        <w:t>、候选人：</w:t>
      </w:r>
      <w:r>
        <w:rPr>
          <w:rFonts w:hint="eastAsia" w:ascii="仿宋" w:hAnsi="仿宋" w:eastAsia="仿宋"/>
          <w:sz w:val="28"/>
          <w:szCs w:val="28"/>
          <w:lang w:val="en-US" w:eastAsia="zh-CN"/>
        </w:rPr>
        <w:t>李文勇、尤良春、李育林、杨洋、陈亚振、廖红玲、张晶晶、袁以堂、熊清华、白彩霞</w:t>
      </w:r>
    </w:p>
    <w:p w14:paraId="07F0214E">
      <w:pPr>
        <w:widowControl/>
        <w:spacing w:line="520" w:lineRule="exact"/>
        <w:jc w:val="left"/>
        <w:rPr>
          <w:rFonts w:hint="default" w:ascii="仿宋" w:hAnsi="仿宋" w:eastAsia="仿宋"/>
          <w:b/>
          <w:sz w:val="28"/>
          <w:szCs w:val="28"/>
          <w:lang w:val="en-US" w:eastAsia="zh-CN"/>
        </w:rPr>
      </w:pPr>
      <w:r>
        <w:rPr>
          <w:rFonts w:hint="eastAsia" w:ascii="仿宋" w:hAnsi="仿宋" w:eastAsia="仿宋"/>
          <w:b/>
          <w:sz w:val="28"/>
          <w:szCs w:val="28"/>
          <w:lang w:val="en-US" w:eastAsia="zh-CN"/>
        </w:rPr>
        <w:t>四</w:t>
      </w:r>
      <w:r>
        <w:rPr>
          <w:rFonts w:hint="eastAsia" w:ascii="仿宋" w:hAnsi="仿宋" w:eastAsia="仿宋"/>
          <w:b/>
          <w:sz w:val="28"/>
          <w:szCs w:val="28"/>
        </w:rPr>
        <w:t>、候选组织：</w:t>
      </w:r>
      <w:r>
        <w:rPr>
          <w:rFonts w:hint="eastAsia" w:ascii="仿宋" w:hAnsi="仿宋" w:eastAsia="仿宋"/>
          <w:sz w:val="28"/>
          <w:szCs w:val="28"/>
          <w:lang w:val="en-US" w:eastAsia="zh-CN"/>
        </w:rPr>
        <w:t>广西交通职业技术学院、深圳市正道交通安全科技有限公司、广西路建工程集团有限</w:t>
      </w:r>
      <w:r>
        <w:rPr>
          <w:rFonts w:hint="eastAsia" w:ascii="仿宋" w:hAnsi="仿宋" w:eastAsia="仿宋"/>
          <w:sz w:val="28"/>
          <w:szCs w:val="28"/>
          <w:highlight w:val="none"/>
          <w:lang w:val="en-US" w:eastAsia="zh-CN"/>
        </w:rPr>
        <w:t>公司、桂林电子科技大学、武汉中交交通工程有限责任公司、广西交科集团有限公司</w:t>
      </w:r>
    </w:p>
    <w:p w14:paraId="1B676607">
      <w:pPr>
        <w:widowControl/>
        <w:spacing w:line="520" w:lineRule="exact"/>
        <w:jc w:val="left"/>
        <w:rPr>
          <w:rFonts w:hint="eastAsia" w:ascii="仿宋" w:hAnsi="仿宋" w:eastAsia="仿宋"/>
          <w:b/>
          <w:sz w:val="28"/>
          <w:szCs w:val="28"/>
        </w:rPr>
      </w:pPr>
      <w:r>
        <w:rPr>
          <w:rFonts w:hint="eastAsia" w:ascii="仿宋" w:hAnsi="仿宋" w:eastAsia="仿宋"/>
          <w:b/>
          <w:sz w:val="28"/>
          <w:szCs w:val="28"/>
          <w:lang w:val="en-US" w:eastAsia="zh-CN"/>
        </w:rPr>
        <w:t>五</w:t>
      </w:r>
      <w:r>
        <w:rPr>
          <w:rFonts w:hint="eastAsia" w:ascii="仿宋" w:hAnsi="仿宋" w:eastAsia="仿宋"/>
          <w:b/>
          <w:sz w:val="28"/>
          <w:szCs w:val="28"/>
        </w:rPr>
        <w:t>、主要知识产权和标准规范目录：</w:t>
      </w:r>
    </w:p>
    <w:tbl>
      <w:tblPr>
        <w:tblStyle w:val="9"/>
        <w:tblW w:w="105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28" w:type="dxa"/>
          <w:bottom w:w="28" w:type="dxa"/>
          <w:right w:w="28" w:type="dxa"/>
        </w:tblCellMar>
      </w:tblPr>
      <w:tblGrid>
        <w:gridCol w:w="416"/>
        <w:gridCol w:w="518"/>
        <w:gridCol w:w="1338"/>
        <w:gridCol w:w="762"/>
        <w:gridCol w:w="601"/>
        <w:gridCol w:w="2112"/>
        <w:gridCol w:w="2189"/>
        <w:gridCol w:w="773"/>
        <w:gridCol w:w="676"/>
        <w:gridCol w:w="623"/>
        <w:gridCol w:w="500"/>
      </w:tblGrid>
      <w:tr w14:paraId="3AA817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8"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2CADFC45">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排序</w:t>
            </w:r>
          </w:p>
        </w:tc>
        <w:tc>
          <w:tcPr>
            <w:tcW w:w="518"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E962DA8">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类型</w:t>
            </w:r>
          </w:p>
        </w:tc>
        <w:tc>
          <w:tcPr>
            <w:tcW w:w="1338"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3787D6F">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成果名称</w:t>
            </w:r>
          </w:p>
        </w:tc>
        <w:tc>
          <w:tcPr>
            <w:tcW w:w="762"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34F2EB1">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编号（年卷页；版号）</w:t>
            </w:r>
          </w:p>
        </w:tc>
        <w:tc>
          <w:tcPr>
            <w:tcW w:w="601"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1BB6A61">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授权发布日期</w:t>
            </w:r>
          </w:p>
        </w:tc>
        <w:tc>
          <w:tcPr>
            <w:tcW w:w="2112"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8FF2188">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完成人</w:t>
            </w:r>
          </w:p>
          <w:p w14:paraId="5DB778DC">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（作者）</w:t>
            </w:r>
          </w:p>
        </w:tc>
        <w:tc>
          <w:tcPr>
            <w:tcW w:w="2189"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942BFA6">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完成单位</w:t>
            </w:r>
          </w:p>
          <w:p w14:paraId="3B70C1FC">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（署名单位）</w:t>
            </w:r>
          </w:p>
        </w:tc>
        <w:tc>
          <w:tcPr>
            <w:tcW w:w="77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428C36ED">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授权发布部门（刊名）</w:t>
            </w:r>
          </w:p>
        </w:tc>
        <w:tc>
          <w:tcPr>
            <w:tcW w:w="676"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F27C4A9">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成果状态（通讯作者）</w:t>
            </w:r>
          </w:p>
        </w:tc>
        <w:tc>
          <w:tcPr>
            <w:tcW w:w="623" w:type="dxa"/>
            <w:tcBorders>
              <w:top w:val="single" w:color="auto" w:sz="8"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7490BD1">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广西单位是否原始署名</w:t>
            </w:r>
          </w:p>
        </w:tc>
        <w:tc>
          <w:tcPr>
            <w:tcW w:w="500" w:type="dxa"/>
            <w:tcBorders>
              <w:top w:val="single" w:color="auto" w:sz="8"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0E7E9788">
            <w:pPr>
              <w:keepNext w:val="0"/>
              <w:keepLines w:val="0"/>
              <w:suppressLineNumbers w:val="0"/>
              <w:adjustRightInd w:val="0"/>
              <w:snapToGrid w:val="0"/>
              <w:spacing w:before="0" w:beforeAutospacing="0" w:after="0" w:afterAutospacing="0" w:line="280" w:lineRule="exact"/>
              <w:ind w:left="0" w:right="0"/>
              <w:jc w:val="center"/>
              <w:rPr>
                <w:rFonts w:hint="default" w:ascii="Times New Roman" w:hAnsi="Times New Roman" w:eastAsia="方正黑体_GBK" w:cs="Times New Roman"/>
                <w:snapToGrid w:val="0"/>
                <w:color w:val="auto"/>
                <w:sz w:val="18"/>
                <w:szCs w:val="18"/>
                <w:highlight w:val="none"/>
              </w:rPr>
            </w:pPr>
            <w:r>
              <w:rPr>
                <w:rFonts w:hint="default" w:ascii="Times New Roman" w:hAnsi="Times New Roman" w:eastAsia="方正黑体_GBK" w:cs="Times New Roman"/>
                <w:snapToGrid w:val="0"/>
                <w:color w:val="auto"/>
                <w:sz w:val="18"/>
                <w:szCs w:val="18"/>
                <w:highlight w:val="none"/>
              </w:rPr>
              <w:t>附件编号</w:t>
            </w:r>
          </w:p>
        </w:tc>
      </w:tr>
      <w:tr w14:paraId="06C562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22A5B8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B38D9D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专著</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A7D323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车辆碰撞事故再现仿真分析方法</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1BC493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2021.3 ISBN 978-7-5643-7826-4</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4199BB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2021.03</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22A9E3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李文勇；王钟誉；张元青；王涛</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53B5A46">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桂林电子科技大学</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167549A">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西南交通大学出版社</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1EBCC7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41DDA1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1CC2D748">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7D7BE1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3E2B413">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2</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AF3B17">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94E195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一种便捷式可移动防撞护栏</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F05974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ZL202210353233.4</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3919F3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2023.</w:t>
            </w:r>
          </w:p>
          <w:p w14:paraId="42B04EA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08.25</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231966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尤良春；廖红玲；覃峰；张坤球；张杜锋；周学翔；陈亚振；陈其龙；陈晨；沈立宏；梁振；雷齐筝</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BD9049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深圳市正道公路工程有限公司；广西路建工程集团有限公司；武汉中交交通工程有限责任公司；湖南高速材料贸易有限公司；广西交通职业技术学院</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E76EE88">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CBEB65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4F79BB">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474E1E02">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17976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F504DD4">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3</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1FA6CC1">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5AC43A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一种装配式免锚固移动护栏</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A0D8D6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ZL202411442328.9</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3698B5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2025.</w:t>
            </w:r>
          </w:p>
          <w:p w14:paraId="407042A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09.05</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AF29D1">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廖红玲；杨洋；陈亚振；覃峰；尤良春；雷齐筝；周学翔；梁振</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E4A998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深圳市正道公路工程有限公司；武汉中交交通工程有限责任公司；广西交通职业技术学院</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5A8795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21213BC">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736DCC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0CF208A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1033C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B346B1A">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4</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DC4C861">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380477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一种装配式免锚固移动护栏的连接结构</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FA7E80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ZL202411401366.X</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CE1FE1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2025.</w:t>
            </w:r>
          </w:p>
          <w:p w14:paraId="4E0DB4B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09.19</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033E3C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李志毅；覃峰；王靖；杨洋；雷艺为；白彩霞；周学翔；雷齐筝</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C4129A8">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深圳市正道公路工程有限公司；武汉中交交通工程有限责任公司；广西交通职业技术学院</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C3945C">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C935DE6">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C308E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677060D6">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769FC4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826F76A">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5</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413B21B">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C2278CC">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一种可免锚固的护栏</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F64329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ZL202111387852.7</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8FEE1FB">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2024.</w:t>
            </w:r>
          </w:p>
          <w:p w14:paraId="5FA8E6B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11.15</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1603AC6">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尤良春；廖红玲；梁振；雷齐筝；刘敬红；邹雄林；白彩霞；杨碧原</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2A3DE1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深圳市正道公路工程</w:t>
            </w:r>
          </w:p>
          <w:p w14:paraId="322627D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有限公司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022C4D8">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C31425B">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561AFE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否</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5BB33606">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4FC01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129EBD8">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6</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561D00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发明专利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D60D66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一种利旧填充式免锚固护栏</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4BADB4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ZL 20221 1445976.0</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F244A4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2026.</w:t>
            </w:r>
          </w:p>
          <w:p w14:paraId="5E722B7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04.07</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EDAA72A">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廖红玲</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尤良春</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陈亚振</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徐博</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罗涛</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雷艺为</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卢笛</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雷齐筝</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梁振</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刘敬红</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邹雄林</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249B49B">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深圳市正道公路工程有限公司</w:t>
            </w:r>
            <w:r>
              <w:rPr>
                <w:rFonts w:hint="eastAsia" w:ascii="Times New Roman" w:hAns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武汉中交交通工程有限责任公司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8371DC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1ED066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045B4FC">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否</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77FC6627">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07CA0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2CE87E2">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7</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9ED3A5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实用新型专利</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0242FF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一种可快速调节高度的道路安全限高架</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13811C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ZL2021 21274323.1</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45B534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cs="Times New Roman"/>
                <w:snapToGrid w:val="0"/>
                <w:color w:val="auto"/>
                <w:sz w:val="18"/>
                <w:szCs w:val="18"/>
                <w:highlight w:val="none"/>
                <w:lang w:val="en-US" w:eastAsia="zh-CN"/>
              </w:rPr>
              <w:t>2021.11.26</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B9DAAF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廉冠</w:t>
            </w:r>
            <w:r>
              <w:rPr>
                <w:rFonts w:hint="eastAsia" w:asci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李文勇</w:t>
            </w:r>
            <w:r>
              <w:rPr>
                <w:rFonts w:hint="eastAsia" w:asci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秦宇哲</w:t>
            </w:r>
            <w:r>
              <w:rPr>
                <w:rFonts w:hint="eastAsia" w:asci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王涛</w:t>
            </w:r>
            <w:r>
              <w:rPr>
                <w:rFonts w:hint="eastAsia" w:ascii="Times New Roman" w:cs="Times New Roman"/>
                <w:snapToGrid w:val="0"/>
                <w:color w:val="auto"/>
                <w:sz w:val="18"/>
                <w:szCs w:val="18"/>
                <w:highlight w:val="none"/>
                <w:lang w:val="en-US" w:eastAsia="zh-CN"/>
              </w:rPr>
              <w:t>；</w:t>
            </w:r>
            <w:r>
              <w:rPr>
                <w:rFonts w:hint="default" w:ascii="Times New Roman" w:hAnsi="Times New Roman" w:cs="Times New Roman"/>
                <w:snapToGrid w:val="0"/>
                <w:color w:val="auto"/>
                <w:sz w:val="18"/>
                <w:szCs w:val="18"/>
                <w:highlight w:val="none"/>
                <w:lang w:val="en-US" w:eastAsia="zh-CN"/>
              </w:rPr>
              <w:t>黎顺虎</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C839FD1">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桂林电子科技大学</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2547AD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国家知识产权局</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B1C772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526E4E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3F73E32B">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6EABD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461D442">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8</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2E1E11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论文</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879D9C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装配式免锚固移动护栏底座水泥混凝土制备及防护性能试验研究</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A4E3A5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2022 (12) :149-154+175</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BD60F1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2022.12</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0CCBAD1">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覃峰；陈其龙；尤良春；马欣</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40D9BD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广西交通职业技术学院、深圳市正道公路工程有限公司</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8587298">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混凝土</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595208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E38625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6E97B5E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65946E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23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68EB0AD">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9</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67B78BB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论文</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4D3606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Simulation Analysis of W-beam and Highway Bus Based on ADAMS</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8AC60D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253-255 (2013) pp 2076-2079</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B71D54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2012.12</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B86B01B">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张杨；李文勇；朱永村</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DE5B7C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桂林电子科技大学</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41EDF8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Applied Mechanics and Materials Vols</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BA98D8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6A2459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407EBC9A">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21C60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1E0C62C3">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10</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157465">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论文</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A6DC81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高速公路W形护栏的碰撞仿真分析</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4FBA177">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2017 (03) :197-</w:t>
            </w:r>
            <w:r>
              <w:rPr>
                <w:rFonts w:hint="eastAsia" w:ascii="Times New Roman" w:cs="Times New Roman"/>
                <w:snapToGrid w:val="0"/>
                <w:color w:val="auto"/>
                <w:sz w:val="18"/>
                <w:szCs w:val="18"/>
                <w:highlight w:val="none"/>
                <w:lang w:val="en-US" w:eastAsia="zh-CN"/>
              </w:rPr>
              <w:t>1</w:t>
            </w:r>
            <w:r>
              <w:rPr>
                <w:rFonts w:hint="default" w:ascii="Times New Roman" w:hAnsi="Times New Roman" w:cs="Times New Roman"/>
                <w:snapToGrid w:val="0"/>
                <w:color w:val="auto"/>
                <w:sz w:val="18"/>
                <w:szCs w:val="18"/>
                <w:highlight w:val="none"/>
                <w:lang w:val="en-US" w:eastAsia="zh-CN"/>
              </w:rPr>
              <w:t>99+203</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D7CF141">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2017.03</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3D9908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李文勇；张元青；刘俊杰</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48EE19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桂林电子科技大学</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D4544A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机械设计与制造</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DC67A0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E1C4752">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71E8A5B3">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15B6E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570B369">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11</w:t>
            </w:r>
          </w:p>
        </w:tc>
        <w:tc>
          <w:tcPr>
            <w:tcW w:w="51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C296FD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团体标准</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0667C25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免锚固移动护栏</w:t>
            </w:r>
          </w:p>
        </w:tc>
        <w:tc>
          <w:tcPr>
            <w:tcW w:w="76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2E04D97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T / TMAC</w:t>
            </w:r>
          </w:p>
          <w:p w14:paraId="7AC0006E">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053—2023</w:t>
            </w:r>
          </w:p>
        </w:tc>
        <w:tc>
          <w:tcPr>
            <w:tcW w:w="601"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5F5CB0A">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default" w:ascii="Times New Roman" w:hAnsi="Times New Roman" w:cs="Times New Roman"/>
                <w:snapToGrid w:val="0"/>
                <w:color w:val="auto"/>
                <w:sz w:val="18"/>
                <w:szCs w:val="18"/>
                <w:highlight w:val="none"/>
                <w:lang w:val="en-US" w:eastAsia="zh-CN"/>
              </w:rPr>
              <w:t>2023.3.10</w:t>
            </w:r>
          </w:p>
        </w:tc>
        <w:tc>
          <w:tcPr>
            <w:tcW w:w="2112"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31F47BCF">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尤良春；廖红玲；王永泉；陈亚振；侯忠非；张坤球；莫伟；陈胜利；冀景义；吴小毛；唐雨春；高燕；李祥；冯浩；舒森；石杰荣；张杜锋；黄征；邰永刚；周颖；陈晨；徐博；王树新；白彩霞；刘敬红；梁振；雷齐筝；刘明；罗诗立；武明；邹雄林；宋婷婷</w:t>
            </w:r>
          </w:p>
        </w:tc>
        <w:tc>
          <w:tcPr>
            <w:tcW w:w="2189"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402329BD">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深圳市正道公路工程有限公司；湖南省高速公路集团有限公司；陕西交通控股集团有限公司；青海省交控建设工程集团有限公司；武汉中交交通工程有限责任公司；湖南省交通规划勘察设计院有限公司；中交瑞通路桥养护科技有限公司；广西路建工程集团有限公司；湖南路桥建设集团有限责任公司；中交第一航务工程局有限公司；内蒙古自治区兴安盟交通运输综合行政执法支队</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855B17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中国技术市场协会</w:t>
            </w:r>
          </w:p>
        </w:tc>
        <w:tc>
          <w:tcPr>
            <w:tcW w:w="676"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56D431F6">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57" w:type="dxa"/>
              <w:bottom w:w="0" w:type="dxa"/>
              <w:right w:w="57" w:type="dxa"/>
            </w:tcMar>
            <w:vAlign w:val="center"/>
          </w:tcPr>
          <w:p w14:paraId="70C68F3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shd w:val="clear" w:color="auto" w:fill="auto"/>
            <w:noWrap w:val="0"/>
            <w:tcMar>
              <w:top w:w="0" w:type="dxa"/>
              <w:left w:w="57" w:type="dxa"/>
              <w:bottom w:w="0" w:type="dxa"/>
              <w:right w:w="57" w:type="dxa"/>
            </w:tcMar>
            <w:vAlign w:val="center"/>
          </w:tcPr>
          <w:p w14:paraId="4A619FAA">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2B225B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416" w:type="dxa"/>
            <w:tcBorders>
              <w:top w:val="single" w:color="auto" w:sz="4" w:space="0"/>
              <w:left w:val="single" w:color="auto" w:sz="8" w:space="0"/>
              <w:bottom w:val="single" w:color="auto" w:sz="4" w:space="0"/>
              <w:right w:val="single" w:color="auto" w:sz="4" w:space="0"/>
            </w:tcBorders>
            <w:noWrap w:val="0"/>
            <w:tcMar>
              <w:top w:w="0" w:type="dxa"/>
              <w:left w:w="57" w:type="dxa"/>
              <w:bottom w:w="0" w:type="dxa"/>
              <w:right w:w="57" w:type="dxa"/>
            </w:tcMar>
            <w:vAlign w:val="center"/>
          </w:tcPr>
          <w:p w14:paraId="718B7ED4">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12</w:t>
            </w:r>
          </w:p>
        </w:tc>
        <w:tc>
          <w:tcPr>
            <w:tcW w:w="51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EC00A93">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团体标准</w:t>
            </w:r>
          </w:p>
        </w:tc>
        <w:tc>
          <w:tcPr>
            <w:tcW w:w="1338"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5F8ACB0">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高速公路改扩建交通组织管理技术规程</w:t>
            </w:r>
          </w:p>
        </w:tc>
        <w:tc>
          <w:tcPr>
            <w:tcW w:w="76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C768DA8">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eastAsia"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T/CECS G:Q12-01-2024</w:t>
            </w:r>
          </w:p>
          <w:p w14:paraId="35963046">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p>
        </w:tc>
        <w:tc>
          <w:tcPr>
            <w:tcW w:w="601"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3BECA27">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2025.04</w:t>
            </w:r>
          </w:p>
        </w:tc>
        <w:tc>
          <w:tcPr>
            <w:tcW w:w="2112"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0B346F9">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陈亚振；闵泉；刘兵；胡彦杰；陈晨；高阳；周颖；童渊；罗涛冷；郭志杰；王恩师；朱顺应； 夏吴标；姚胜彪；秦江林；黄必辉；梁健健；夏雨；夏永生；廖红玲；尤良春；白彩霞；李祥；张天忠；李增非；温宇钧</w:t>
            </w:r>
          </w:p>
        </w:tc>
        <w:tc>
          <w:tcPr>
            <w:tcW w:w="2189"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6F9C4D8">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中交第二公路勘察设计研究院有限公司；武汉中交交通工程有限责任公司；武汉理工大学；广西桂海高速公路有限公司；中交第二公路工程局有限公司；上海竟焰交通设施工程有限公司；深圳市正道公路工程有限公司</w:t>
            </w:r>
          </w:p>
        </w:tc>
        <w:tc>
          <w:tcPr>
            <w:tcW w:w="77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AC59928">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中国工程建设标准化协会</w:t>
            </w:r>
          </w:p>
        </w:tc>
        <w:tc>
          <w:tcPr>
            <w:tcW w:w="676"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6ACAF97">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有效</w:t>
            </w:r>
          </w:p>
        </w:tc>
        <w:tc>
          <w:tcPr>
            <w:tcW w:w="623" w:type="dxa"/>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2C8EDD4">
            <w:pPr>
              <w:keepNext w:val="0"/>
              <w:keepLines w:val="0"/>
              <w:suppressLineNumbers w:val="0"/>
              <w:adjustRightInd w:val="0"/>
              <w:snapToGrid w:val="0"/>
              <w:spacing w:before="0" w:beforeAutospacing="0" w:after="0" w:afterAutospacing="0" w:line="240" w:lineRule="auto"/>
              <w:ind w:left="0" w:leftChars="0" w:right="0" w:rightChars="0"/>
              <w:jc w:val="center"/>
              <w:outlineLvl w:val="1"/>
              <w:rPr>
                <w:rFonts w:hint="default" w:ascii="Times New Roman" w:hAnsi="Times New Roman" w:cs="Times New Roman"/>
                <w:snapToGrid w:val="0"/>
                <w:color w:val="auto"/>
                <w:sz w:val="18"/>
                <w:szCs w:val="18"/>
                <w:highlight w:val="none"/>
                <w:lang w:val="en-US" w:eastAsia="zh-CN"/>
              </w:rPr>
            </w:pPr>
            <w:r>
              <w:rPr>
                <w:rFonts w:hint="eastAsia" w:ascii="Times New Roman" w:hAnsi="Times New Roman" w:cs="Times New Roman"/>
                <w:snapToGrid w:val="0"/>
                <w:color w:val="auto"/>
                <w:sz w:val="18"/>
                <w:szCs w:val="18"/>
                <w:highlight w:val="none"/>
                <w:lang w:val="en-US" w:eastAsia="zh-CN"/>
              </w:rPr>
              <w:t>是</w:t>
            </w:r>
          </w:p>
        </w:tc>
        <w:tc>
          <w:tcPr>
            <w:tcW w:w="500" w:type="dxa"/>
            <w:tcBorders>
              <w:top w:val="single" w:color="auto" w:sz="4" w:space="0"/>
              <w:left w:val="single" w:color="auto" w:sz="4" w:space="0"/>
              <w:bottom w:val="single" w:color="auto" w:sz="4" w:space="0"/>
              <w:right w:val="single" w:color="auto" w:sz="8" w:space="0"/>
            </w:tcBorders>
            <w:noWrap w:val="0"/>
            <w:tcMar>
              <w:top w:w="0" w:type="dxa"/>
              <w:left w:w="57" w:type="dxa"/>
              <w:bottom w:w="0" w:type="dxa"/>
              <w:right w:w="57" w:type="dxa"/>
            </w:tcMar>
            <w:vAlign w:val="center"/>
          </w:tcPr>
          <w:p w14:paraId="6FD3C385">
            <w:pPr>
              <w:keepNext w:val="0"/>
              <w:keepLines w:val="0"/>
              <w:suppressLineNumbers w:val="0"/>
              <w:adjustRightInd w:val="0"/>
              <w:snapToGrid w:val="0"/>
              <w:spacing w:before="0" w:beforeAutospacing="0" w:after="0" w:afterAutospacing="0" w:line="280" w:lineRule="exact"/>
              <w:ind w:left="0" w:leftChars="0" w:right="0" w:rightChars="0"/>
              <w:jc w:val="center"/>
              <w:rPr>
                <w:rFonts w:hint="eastAsia" w:asci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w:t>
            </w:r>
          </w:p>
        </w:tc>
      </w:tr>
      <w:tr w14:paraId="36242B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28" w:type="dxa"/>
            <w:bottom w:w="28" w:type="dxa"/>
            <w:right w:w="28" w:type="dxa"/>
          </w:tblCellMar>
        </w:tblPrEx>
        <w:trPr>
          <w:trHeight w:val="850" w:hRule="atLeast"/>
          <w:jc w:val="center"/>
        </w:trPr>
        <w:tc>
          <w:tcPr>
            <w:tcW w:w="7936" w:type="dxa"/>
            <w:gridSpan w:val="7"/>
            <w:tcBorders>
              <w:top w:val="single" w:color="auto" w:sz="4" w:space="0"/>
              <w:left w:val="single" w:color="auto" w:sz="8" w:space="0"/>
              <w:bottom w:val="single" w:color="auto" w:sz="8" w:space="0"/>
              <w:right w:val="single" w:color="auto" w:sz="4" w:space="0"/>
            </w:tcBorders>
            <w:noWrap w:val="0"/>
            <w:tcMar>
              <w:top w:w="0" w:type="dxa"/>
              <w:left w:w="57" w:type="dxa"/>
              <w:bottom w:w="0" w:type="dxa"/>
              <w:right w:w="57" w:type="dxa"/>
            </w:tcMar>
            <w:vAlign w:val="center"/>
          </w:tcPr>
          <w:p w14:paraId="44EB697D">
            <w:pPr>
              <w:keepNext w:val="0"/>
              <w:keepLines w:val="0"/>
              <w:suppressLineNumbers w:val="0"/>
              <w:adjustRightInd w:val="0"/>
              <w:snapToGrid w:val="0"/>
              <w:spacing w:before="0" w:beforeAutospacing="0" w:after="0" w:afterAutospacing="0" w:line="320" w:lineRule="exact"/>
              <w:ind w:left="0" w:right="0"/>
              <w:jc w:val="center"/>
              <w:outlineLvl w:val="1"/>
              <w:rPr>
                <w:rFonts w:hint="default" w:ascii="Times New Roman" w:hAnsi="Times New Roman" w:eastAsia="方正黑体_GBK" w:cs="Times New Roman"/>
                <w:snapToGrid w:val="0"/>
                <w:color w:val="auto"/>
                <w:sz w:val="18"/>
                <w:szCs w:val="18"/>
                <w:highlight w:val="none"/>
              </w:rPr>
            </w:pPr>
            <w:r>
              <w:rPr>
                <w:rFonts w:hint="eastAsia" w:ascii="Times New Roman" w:hAnsi="Times New Roman" w:cs="Times New Roman"/>
                <w:snapToGrid w:val="0"/>
                <w:color w:val="auto"/>
                <w:sz w:val="18"/>
                <w:szCs w:val="18"/>
                <w:highlight w:val="none"/>
              </w:rPr>
              <w:t>“主要知识产权和标准规范”中广西单位是原始完成人、起草人的占比</w:t>
            </w:r>
          </w:p>
        </w:tc>
        <w:tc>
          <w:tcPr>
            <w:tcW w:w="2572" w:type="dxa"/>
            <w:gridSpan w:val="4"/>
            <w:tcBorders>
              <w:top w:val="single" w:color="auto" w:sz="4" w:space="0"/>
              <w:left w:val="single" w:color="auto" w:sz="4" w:space="0"/>
              <w:bottom w:val="single" w:color="auto" w:sz="8" w:space="0"/>
              <w:right w:val="single" w:color="auto" w:sz="8" w:space="0"/>
            </w:tcBorders>
            <w:noWrap w:val="0"/>
            <w:tcMar>
              <w:top w:w="0" w:type="dxa"/>
              <w:left w:w="57" w:type="dxa"/>
              <w:bottom w:w="0" w:type="dxa"/>
              <w:right w:w="57" w:type="dxa"/>
            </w:tcMar>
            <w:vAlign w:val="center"/>
          </w:tcPr>
          <w:p w14:paraId="21508EE0">
            <w:pPr>
              <w:keepNext w:val="0"/>
              <w:keepLines w:val="0"/>
              <w:suppressLineNumbers w:val="0"/>
              <w:adjustRightInd/>
              <w:snapToGrid/>
              <w:spacing w:before="0" w:beforeAutospacing="0" w:after="0" w:afterAutospacing="0" w:line="240" w:lineRule="auto"/>
              <w:ind w:left="0" w:right="0"/>
              <w:jc w:val="center"/>
              <w:outlineLvl w:val="9"/>
              <w:rPr>
                <w:rFonts w:hint="default" w:ascii="Times New Roman" w:hAnsi="Times New Roman" w:eastAsia="方正黑体_GBK" w:cs="Times New Roman"/>
                <w:snapToGrid w:val="0"/>
                <w:color w:val="auto"/>
                <w:sz w:val="18"/>
                <w:szCs w:val="18"/>
                <w:highlight w:val="none"/>
                <w:lang w:val="en-US" w:eastAsia="zh-CN"/>
              </w:rPr>
            </w:pPr>
            <w:r>
              <w:rPr>
                <w:rFonts w:hint="eastAsia" w:ascii="Times New Roman" w:eastAsia="方正黑体_GBK" w:cs="Times New Roman"/>
                <w:snapToGrid w:val="0"/>
                <w:color w:val="auto"/>
                <w:sz w:val="18"/>
                <w:szCs w:val="18"/>
                <w:highlight w:val="none"/>
                <w:lang w:val="en-US" w:eastAsia="zh-CN"/>
              </w:rPr>
              <w:t>10/12</w:t>
            </w:r>
          </w:p>
        </w:tc>
      </w:tr>
    </w:tbl>
    <w:p w14:paraId="69C8FA66">
      <w:pPr>
        <w:widowControl/>
        <w:numPr>
          <w:ilvl w:val="0"/>
          <w:numId w:val="0"/>
        </w:numPr>
        <w:spacing w:line="520" w:lineRule="exact"/>
        <w:jc w:val="left"/>
        <w:rPr>
          <w:rFonts w:hint="eastAsia" w:ascii="仿宋" w:hAnsi="仿宋" w:eastAsia="仿宋"/>
          <w:b/>
          <w:sz w:val="28"/>
          <w:szCs w:val="28"/>
        </w:rPr>
      </w:pPr>
      <w:r>
        <w:rPr>
          <w:rFonts w:hint="eastAsia" w:ascii="仿宋" w:hAnsi="仿宋" w:eastAsia="仿宋" w:cs="Times New Roman"/>
          <w:b/>
          <w:kern w:val="2"/>
          <w:sz w:val="28"/>
          <w:szCs w:val="28"/>
          <w:lang w:val="en-US" w:eastAsia="zh-CN" w:bidi="ar-SA"/>
        </w:rPr>
        <w:t>六、</w:t>
      </w:r>
      <w:r>
        <w:rPr>
          <w:rFonts w:hint="eastAsia" w:ascii="仿宋" w:hAnsi="仿宋" w:eastAsia="仿宋"/>
          <w:b/>
          <w:sz w:val="28"/>
          <w:szCs w:val="28"/>
        </w:rPr>
        <w:t>候选个人合作情况：</w:t>
      </w:r>
    </w:p>
    <w:p w14:paraId="64619E55">
      <w:pPr>
        <w:keepNext w:val="0"/>
        <w:keepLines w:val="0"/>
        <w:pageBreakBefore w:val="0"/>
        <w:widowControl/>
        <w:suppressLineNumbers w:val="0"/>
        <w:kinsoku/>
        <w:wordWrap/>
        <w:overflowPunct/>
        <w:topLinePunct w:val="0"/>
        <w:autoSpaceDE/>
        <w:autoSpaceDN/>
        <w:bidi w:val="0"/>
        <w:spacing w:line="300" w:lineRule="exact"/>
        <w:ind w:firstLine="360" w:firstLineChars="200"/>
        <w:jc w:val="left"/>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广西交通职业技术学院、深圳市正道交通安全科技有限公司、广西路建工程集团有限公司、桂林电子科技大学、武汉中交交通工程有限责任公司、广西交科集团有限公司</w:t>
      </w:r>
      <w:r>
        <w:rPr>
          <w:rFonts w:hint="eastAsia" w:ascii="方正仿宋_GBK" w:hAnsi="方正仿宋_GBK" w:eastAsia="方正仿宋_GBK" w:cs="方正仿宋_GBK"/>
          <w:sz w:val="18"/>
          <w:szCs w:val="18"/>
        </w:rPr>
        <w:t>6家候选组织、10名候选个人（</w:t>
      </w:r>
      <w:r>
        <w:rPr>
          <w:rFonts w:hint="eastAsia" w:ascii="方正仿宋_GBK" w:hAnsi="方正仿宋_GBK" w:eastAsia="方正仿宋_GBK" w:cs="方正仿宋_GBK"/>
          <w:sz w:val="18"/>
          <w:szCs w:val="18"/>
          <w:lang w:val="en-US" w:eastAsia="zh-CN"/>
        </w:rPr>
        <w:t>李文勇、尤良春、李育林、杨洋、陈亚振、廖红玲、张晶晶、袁以堂、熊清华、白彩霞</w:t>
      </w:r>
      <w:r>
        <w:rPr>
          <w:rFonts w:hint="eastAsia" w:ascii="方正仿宋_GBK" w:hAnsi="方正仿宋_GBK" w:eastAsia="方正仿宋_GBK" w:cs="方正仿宋_GBK"/>
          <w:sz w:val="18"/>
          <w:szCs w:val="18"/>
        </w:rPr>
        <w:t>），围绕</w:t>
      </w:r>
      <w:r>
        <w:rPr>
          <w:rFonts w:hint="eastAsia" w:ascii="方正仿宋_GBK" w:hAnsi="方正仿宋_GBK" w:eastAsia="方正仿宋_GBK" w:cs="方正仿宋_GBK"/>
          <w:sz w:val="18"/>
          <w:szCs w:val="18"/>
          <w:lang w:val="en-US" w:eastAsia="zh-CN"/>
        </w:rPr>
        <w:t>免锚固道路临时护栏的模块化设计与施工开展了多年的产学研联合技术攻关，形成了材料研究、结构设计、仿真分析、风险预测评估、预制构件生产与装配施工等系列成果，并在全国16个省（自治区、直辖市）的72项公路工程中成功应用。同一工作单位候选个人之间的合作不单独统计，其中尤良春、白彩霞同属深圳市正道交通安全科技有限公司。</w:t>
      </w:r>
      <w:r>
        <w:rPr>
          <w:rFonts w:hint="eastAsia" w:ascii="方正仿宋_GBK" w:hAnsi="方正仿宋_GBK" w:eastAsia="方正仿宋_GBK" w:cs="方正仿宋_GBK"/>
          <w:sz w:val="18"/>
          <w:szCs w:val="18"/>
        </w:rPr>
        <w:t>候选个人代表性合作关系说明如下:</w:t>
      </w:r>
    </w:p>
    <w:p w14:paraId="76512230">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1.合作方式：共同技术研发</w:t>
      </w:r>
    </w:p>
    <w:p w14:paraId="591D43E3">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合作者：</w:t>
      </w:r>
      <w:r>
        <w:rPr>
          <w:rFonts w:hint="eastAsia" w:ascii="方正仿宋_GBK" w:hAnsi="方正仿宋_GBK" w:eastAsia="方正仿宋_GBK" w:cs="方正仿宋_GBK"/>
          <w:snapToGrid w:val="0"/>
          <w:color w:val="auto"/>
          <w:sz w:val="18"/>
          <w:szCs w:val="18"/>
          <w:highlight w:val="none"/>
          <w:lang w:val="en-US" w:eastAsia="zh-CN"/>
        </w:rPr>
        <w:t>尤良春，陈亚振</w:t>
      </w:r>
    </w:p>
    <w:p w14:paraId="5DEF27C3">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合作时间：202</w:t>
      </w:r>
      <w:r>
        <w:rPr>
          <w:rFonts w:hint="eastAsia" w:ascii="方正仿宋_GBK" w:hAnsi="方正仿宋_GBK" w:eastAsia="方正仿宋_GBK" w:cs="方正仿宋_GBK"/>
          <w:sz w:val="18"/>
          <w:szCs w:val="18"/>
          <w:lang w:val="en-US" w:eastAsia="zh-CN"/>
        </w:rPr>
        <w:t>1</w:t>
      </w:r>
      <w:r>
        <w:rPr>
          <w:rFonts w:hint="eastAsia" w:ascii="方正仿宋_GBK" w:hAnsi="方正仿宋_GBK" w:eastAsia="方正仿宋_GBK" w:cs="方正仿宋_GBK"/>
          <w:sz w:val="18"/>
          <w:szCs w:val="18"/>
        </w:rPr>
        <w:t>年6月至202</w:t>
      </w:r>
      <w:r>
        <w:rPr>
          <w:rFonts w:hint="eastAsia" w:ascii="方正仿宋_GBK" w:hAnsi="方正仿宋_GBK" w:eastAsia="方正仿宋_GBK" w:cs="方正仿宋_GBK"/>
          <w:sz w:val="18"/>
          <w:szCs w:val="18"/>
          <w:lang w:val="en-US" w:eastAsia="zh-CN"/>
        </w:rPr>
        <w:t>3</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8</w:t>
      </w:r>
      <w:r>
        <w:rPr>
          <w:rFonts w:hint="eastAsia" w:ascii="方正仿宋_GBK" w:hAnsi="方正仿宋_GBK" w:eastAsia="方正仿宋_GBK" w:cs="方正仿宋_GBK"/>
          <w:sz w:val="18"/>
          <w:szCs w:val="18"/>
        </w:rPr>
        <w:t>月</w:t>
      </w:r>
    </w:p>
    <w:p w14:paraId="079A4608">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napToGrid w:val="0"/>
          <w:color w:val="auto"/>
          <w:sz w:val="18"/>
          <w:szCs w:val="18"/>
          <w:highlight w:val="none"/>
          <w:lang w:val="en-US" w:eastAsia="zh-CN"/>
        </w:rPr>
      </w:pPr>
      <w:r>
        <w:rPr>
          <w:rFonts w:hint="eastAsia" w:ascii="方正仿宋_GBK" w:hAnsi="方正仿宋_GBK" w:eastAsia="方正仿宋_GBK" w:cs="方正仿宋_GBK"/>
          <w:sz w:val="18"/>
          <w:szCs w:val="18"/>
        </w:rPr>
        <w:t>合作成果：（1）</w:t>
      </w:r>
      <w:r>
        <w:rPr>
          <w:rFonts w:hint="eastAsia" w:ascii="方正仿宋_GBK" w:hAnsi="方正仿宋_GBK" w:eastAsia="方正仿宋_GBK" w:cs="方正仿宋_GBK"/>
          <w:sz w:val="18"/>
          <w:szCs w:val="18"/>
          <w:lang w:val="en-US" w:eastAsia="zh-CN"/>
        </w:rPr>
        <w:t>发明专利：</w:t>
      </w:r>
      <w:r>
        <w:rPr>
          <w:rFonts w:hint="eastAsia" w:ascii="方正仿宋_GBK" w:hAnsi="方正仿宋_GBK" w:eastAsia="方正仿宋_GBK" w:cs="方正仿宋_GBK"/>
          <w:snapToGrid w:val="0"/>
          <w:color w:val="auto"/>
          <w:sz w:val="18"/>
          <w:szCs w:val="18"/>
          <w:highlight w:val="none"/>
          <w:lang w:val="en-US" w:eastAsia="zh-CN"/>
        </w:rPr>
        <w:t>一种便捷式可移动防撞护栏</w:t>
      </w:r>
    </w:p>
    <w:p w14:paraId="53E68A89">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2</w:t>
      </w:r>
      <w:r>
        <w:rPr>
          <w:rFonts w:hint="eastAsia" w:ascii="方正仿宋_GBK" w:hAnsi="方正仿宋_GBK" w:eastAsia="方正仿宋_GBK" w:cs="方正仿宋_GBK"/>
          <w:sz w:val="18"/>
          <w:szCs w:val="18"/>
        </w:rPr>
        <w:t>.合作方式：共同技术研发</w:t>
      </w:r>
    </w:p>
    <w:p w14:paraId="3673DA7A">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合作者：</w:t>
      </w:r>
      <w:r>
        <w:rPr>
          <w:rFonts w:hint="eastAsia" w:ascii="方正仿宋_GBK" w:hAnsi="方正仿宋_GBK" w:eastAsia="方正仿宋_GBK" w:cs="方正仿宋_GBK"/>
          <w:sz w:val="18"/>
          <w:szCs w:val="18"/>
          <w:lang w:val="en-US" w:eastAsia="zh-CN"/>
        </w:rPr>
        <w:t>杨洋、</w:t>
      </w:r>
      <w:r>
        <w:rPr>
          <w:rFonts w:hint="eastAsia" w:ascii="方正仿宋_GBK" w:hAnsi="方正仿宋_GBK" w:eastAsia="方正仿宋_GBK" w:cs="方正仿宋_GBK"/>
          <w:snapToGrid w:val="0"/>
          <w:color w:val="auto"/>
          <w:sz w:val="18"/>
          <w:szCs w:val="18"/>
          <w:highlight w:val="none"/>
          <w:lang w:val="en-US" w:eastAsia="zh-CN"/>
        </w:rPr>
        <w:t>尤良春，陈亚振</w:t>
      </w:r>
    </w:p>
    <w:p w14:paraId="76338BEF">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合作时间：202</w:t>
      </w:r>
      <w:r>
        <w:rPr>
          <w:rFonts w:hint="eastAsia" w:ascii="方正仿宋_GBK" w:hAnsi="方正仿宋_GBK" w:eastAsia="方正仿宋_GBK" w:cs="方正仿宋_GBK"/>
          <w:sz w:val="18"/>
          <w:szCs w:val="18"/>
          <w:lang w:val="en-US" w:eastAsia="zh-CN"/>
        </w:rPr>
        <w:t>3</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11</w:t>
      </w:r>
      <w:r>
        <w:rPr>
          <w:rFonts w:hint="eastAsia" w:ascii="方正仿宋_GBK" w:hAnsi="方正仿宋_GBK" w:eastAsia="方正仿宋_GBK" w:cs="方正仿宋_GBK"/>
          <w:sz w:val="18"/>
          <w:szCs w:val="18"/>
        </w:rPr>
        <w:t>月至2025年9月</w:t>
      </w:r>
    </w:p>
    <w:p w14:paraId="6AAD4B94">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napToGrid w:val="0"/>
          <w:color w:val="auto"/>
          <w:sz w:val="18"/>
          <w:szCs w:val="18"/>
          <w:highlight w:val="none"/>
          <w:lang w:val="en-US" w:eastAsia="zh-CN"/>
        </w:rPr>
      </w:pPr>
      <w:r>
        <w:rPr>
          <w:rFonts w:hint="eastAsia" w:ascii="方正仿宋_GBK" w:hAnsi="方正仿宋_GBK" w:eastAsia="方正仿宋_GBK" w:cs="方正仿宋_GBK"/>
          <w:sz w:val="18"/>
          <w:szCs w:val="18"/>
        </w:rPr>
        <w:t>合作成果：（1）</w:t>
      </w:r>
      <w:r>
        <w:rPr>
          <w:rFonts w:hint="eastAsia" w:ascii="方正仿宋_GBK" w:hAnsi="方正仿宋_GBK" w:eastAsia="方正仿宋_GBK" w:cs="方正仿宋_GBK"/>
          <w:sz w:val="18"/>
          <w:szCs w:val="18"/>
          <w:lang w:val="en-US" w:eastAsia="zh-CN"/>
        </w:rPr>
        <w:t>发明专利：</w:t>
      </w:r>
      <w:r>
        <w:rPr>
          <w:rFonts w:hint="eastAsia" w:ascii="方正仿宋_GBK" w:hAnsi="方正仿宋_GBK" w:eastAsia="方正仿宋_GBK" w:cs="方正仿宋_GBK"/>
          <w:snapToGrid w:val="0"/>
          <w:color w:val="auto"/>
          <w:sz w:val="18"/>
          <w:szCs w:val="18"/>
          <w:highlight w:val="none"/>
          <w:lang w:val="en-US" w:eastAsia="zh-CN"/>
        </w:rPr>
        <w:t>一种装配式免锚固移动护栏</w:t>
      </w:r>
    </w:p>
    <w:p w14:paraId="6FAF0591">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3</w:t>
      </w:r>
      <w:r>
        <w:rPr>
          <w:rFonts w:hint="eastAsia" w:ascii="方正仿宋_GBK" w:hAnsi="方正仿宋_GBK" w:eastAsia="方正仿宋_GBK" w:cs="方正仿宋_GBK"/>
          <w:sz w:val="18"/>
          <w:szCs w:val="18"/>
        </w:rPr>
        <w:t>.合作方式：共同技术研发</w:t>
      </w:r>
    </w:p>
    <w:p w14:paraId="24629FE7">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合作者：</w:t>
      </w:r>
      <w:r>
        <w:rPr>
          <w:rFonts w:hint="eastAsia" w:ascii="方正仿宋_GBK" w:hAnsi="方正仿宋_GBK" w:eastAsia="方正仿宋_GBK" w:cs="方正仿宋_GBK"/>
          <w:sz w:val="18"/>
          <w:szCs w:val="18"/>
          <w:lang w:val="en-US" w:eastAsia="zh-CN"/>
        </w:rPr>
        <w:t>杨洋、</w:t>
      </w:r>
      <w:r>
        <w:rPr>
          <w:rFonts w:hint="eastAsia" w:ascii="方正仿宋_GBK" w:hAnsi="方正仿宋_GBK" w:eastAsia="方正仿宋_GBK" w:cs="方正仿宋_GBK"/>
          <w:snapToGrid w:val="0"/>
          <w:color w:val="auto"/>
          <w:sz w:val="18"/>
          <w:szCs w:val="18"/>
          <w:highlight w:val="none"/>
          <w:lang w:val="en-US" w:eastAsia="zh-CN"/>
        </w:rPr>
        <w:t>白彩霞</w:t>
      </w:r>
    </w:p>
    <w:p w14:paraId="7CDA2508">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合作时间：202</w:t>
      </w:r>
      <w:r>
        <w:rPr>
          <w:rFonts w:hint="eastAsia" w:ascii="方正仿宋_GBK" w:hAnsi="方正仿宋_GBK" w:eastAsia="方正仿宋_GBK" w:cs="方正仿宋_GBK"/>
          <w:sz w:val="18"/>
          <w:szCs w:val="18"/>
          <w:lang w:val="en-US" w:eastAsia="zh-CN"/>
        </w:rPr>
        <w:t>4</w:t>
      </w:r>
      <w:r>
        <w:rPr>
          <w:rFonts w:hint="eastAsia" w:ascii="方正仿宋_GBK" w:hAnsi="方正仿宋_GBK" w:eastAsia="方正仿宋_GBK" w:cs="方正仿宋_GBK"/>
          <w:sz w:val="18"/>
          <w:szCs w:val="18"/>
        </w:rPr>
        <w:t>年6月至2025年9月</w:t>
      </w:r>
    </w:p>
    <w:p w14:paraId="6F4E9B3C">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napToGrid w:val="0"/>
          <w:color w:val="auto"/>
          <w:sz w:val="18"/>
          <w:szCs w:val="18"/>
          <w:highlight w:val="none"/>
          <w:lang w:val="en-US" w:eastAsia="zh-CN"/>
        </w:rPr>
      </w:pPr>
      <w:r>
        <w:rPr>
          <w:rFonts w:hint="eastAsia" w:ascii="方正仿宋_GBK" w:hAnsi="方正仿宋_GBK" w:eastAsia="方正仿宋_GBK" w:cs="方正仿宋_GBK"/>
          <w:sz w:val="18"/>
          <w:szCs w:val="18"/>
        </w:rPr>
        <w:t>合作成果：（1）</w:t>
      </w:r>
      <w:r>
        <w:rPr>
          <w:rFonts w:hint="eastAsia" w:ascii="方正仿宋_GBK" w:hAnsi="方正仿宋_GBK" w:eastAsia="方正仿宋_GBK" w:cs="方正仿宋_GBK"/>
          <w:sz w:val="18"/>
          <w:szCs w:val="18"/>
          <w:lang w:val="en-US" w:eastAsia="zh-CN"/>
        </w:rPr>
        <w:t>发明专利：</w:t>
      </w:r>
      <w:r>
        <w:rPr>
          <w:rFonts w:hint="eastAsia" w:ascii="方正仿宋_GBK" w:hAnsi="方正仿宋_GBK" w:eastAsia="方正仿宋_GBK" w:cs="方正仿宋_GBK"/>
          <w:snapToGrid w:val="0"/>
          <w:color w:val="auto"/>
          <w:sz w:val="18"/>
          <w:szCs w:val="18"/>
          <w:highlight w:val="none"/>
          <w:lang w:val="en-US" w:eastAsia="zh-CN"/>
        </w:rPr>
        <w:t>一种装配式免锚固移动护栏的连接结构</w:t>
      </w:r>
    </w:p>
    <w:p w14:paraId="140C8F5C">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4.</w:t>
      </w:r>
      <w:r>
        <w:rPr>
          <w:rFonts w:hint="eastAsia" w:ascii="方正仿宋_GBK" w:hAnsi="方正仿宋_GBK" w:eastAsia="方正仿宋_GBK" w:cs="方正仿宋_GBK"/>
          <w:sz w:val="18"/>
          <w:szCs w:val="18"/>
        </w:rPr>
        <w:t>合作方式：共同技术研发</w:t>
      </w:r>
    </w:p>
    <w:p w14:paraId="7A764776">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合作者：</w:t>
      </w:r>
      <w:r>
        <w:rPr>
          <w:rFonts w:hint="eastAsia" w:ascii="方正仿宋_GBK" w:hAnsi="方正仿宋_GBK" w:eastAsia="方正仿宋_GBK" w:cs="方正仿宋_GBK"/>
          <w:snapToGrid w:val="0"/>
          <w:color w:val="auto"/>
          <w:sz w:val="18"/>
          <w:szCs w:val="18"/>
          <w:highlight w:val="none"/>
          <w:lang w:val="en-US" w:eastAsia="zh-CN"/>
        </w:rPr>
        <w:t>尤良春，陈亚振</w:t>
      </w:r>
    </w:p>
    <w:p w14:paraId="1364E3A3">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合作时间：202</w:t>
      </w:r>
      <w:r>
        <w:rPr>
          <w:rFonts w:hint="eastAsia" w:ascii="方正仿宋_GBK" w:hAnsi="方正仿宋_GBK" w:eastAsia="方正仿宋_GBK" w:cs="方正仿宋_GBK"/>
          <w:sz w:val="18"/>
          <w:szCs w:val="18"/>
          <w:lang w:val="en-US" w:eastAsia="zh-CN"/>
        </w:rPr>
        <w:t>4</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9</w:t>
      </w:r>
      <w:r>
        <w:rPr>
          <w:rFonts w:hint="eastAsia" w:ascii="方正仿宋_GBK" w:hAnsi="方正仿宋_GBK" w:eastAsia="方正仿宋_GBK" w:cs="方正仿宋_GBK"/>
          <w:sz w:val="18"/>
          <w:szCs w:val="18"/>
        </w:rPr>
        <w:t>月至202</w:t>
      </w:r>
      <w:r>
        <w:rPr>
          <w:rFonts w:hint="eastAsia" w:ascii="方正仿宋_GBK" w:hAnsi="方正仿宋_GBK" w:eastAsia="方正仿宋_GBK" w:cs="方正仿宋_GBK"/>
          <w:sz w:val="18"/>
          <w:szCs w:val="18"/>
          <w:lang w:val="en-US" w:eastAsia="zh-CN"/>
        </w:rPr>
        <w:t>6</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4</w:t>
      </w:r>
      <w:r>
        <w:rPr>
          <w:rFonts w:hint="eastAsia" w:ascii="方正仿宋_GBK" w:hAnsi="方正仿宋_GBK" w:eastAsia="方正仿宋_GBK" w:cs="方正仿宋_GBK"/>
          <w:sz w:val="18"/>
          <w:szCs w:val="18"/>
        </w:rPr>
        <w:t>月</w:t>
      </w:r>
    </w:p>
    <w:p w14:paraId="472F0678">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合作成果：（1）</w:t>
      </w:r>
      <w:r>
        <w:rPr>
          <w:rFonts w:hint="eastAsia" w:ascii="方正仿宋_GBK" w:hAnsi="方正仿宋_GBK" w:eastAsia="方正仿宋_GBK" w:cs="方正仿宋_GBK"/>
          <w:sz w:val="18"/>
          <w:szCs w:val="18"/>
          <w:lang w:val="en-US" w:eastAsia="zh-CN"/>
        </w:rPr>
        <w:t>发明专利：</w:t>
      </w:r>
      <w:r>
        <w:rPr>
          <w:rFonts w:hint="eastAsia" w:ascii="方正仿宋_GBK" w:hAnsi="方正仿宋_GBK" w:eastAsia="方正仿宋_GBK" w:cs="方正仿宋_GBK"/>
          <w:snapToGrid w:val="0"/>
          <w:color w:val="auto"/>
          <w:sz w:val="18"/>
          <w:szCs w:val="18"/>
          <w:highlight w:val="none"/>
          <w:lang w:val="en-US" w:eastAsia="zh-CN"/>
        </w:rPr>
        <w:t>一种利旧填充式免锚固护栏</w:t>
      </w:r>
    </w:p>
    <w:p w14:paraId="3E87F095">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5</w:t>
      </w:r>
      <w:r>
        <w:rPr>
          <w:rFonts w:hint="eastAsia" w:ascii="方正仿宋_GBK" w:hAnsi="方正仿宋_GBK" w:eastAsia="方正仿宋_GBK" w:cs="方正仿宋_GBK"/>
          <w:sz w:val="18"/>
          <w:szCs w:val="18"/>
        </w:rPr>
        <w:t>.合作方式：共同技术研发、共同成果推广</w:t>
      </w:r>
    </w:p>
    <w:p w14:paraId="1BF3D555">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lang w:eastAsia="zh-CN"/>
        </w:rPr>
      </w:pPr>
      <w:r>
        <w:rPr>
          <w:rFonts w:hint="eastAsia" w:ascii="方正仿宋_GBK" w:hAnsi="方正仿宋_GBK" w:eastAsia="方正仿宋_GBK" w:cs="方正仿宋_GBK"/>
          <w:sz w:val="18"/>
          <w:szCs w:val="18"/>
        </w:rPr>
        <w:t>合作者：</w:t>
      </w:r>
      <w:r>
        <w:rPr>
          <w:rFonts w:hint="eastAsia" w:ascii="方正仿宋_GBK" w:hAnsi="方正仿宋_GBK" w:eastAsia="方正仿宋_GBK" w:cs="方正仿宋_GBK"/>
          <w:snapToGrid w:val="0"/>
          <w:color w:val="auto"/>
          <w:sz w:val="18"/>
          <w:szCs w:val="18"/>
          <w:highlight w:val="none"/>
          <w:lang w:val="en-US" w:eastAsia="zh-CN"/>
        </w:rPr>
        <w:t>尤良春，陈亚振</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白彩霞</w:t>
      </w:r>
    </w:p>
    <w:p w14:paraId="35C3E1EA">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合作时间：202</w:t>
      </w:r>
      <w:r>
        <w:rPr>
          <w:rFonts w:hint="eastAsia" w:ascii="方正仿宋_GBK" w:hAnsi="方正仿宋_GBK" w:eastAsia="方正仿宋_GBK" w:cs="方正仿宋_GBK"/>
          <w:sz w:val="18"/>
          <w:szCs w:val="18"/>
          <w:lang w:val="en-US" w:eastAsia="zh-CN"/>
        </w:rPr>
        <w:t>1</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9</w:t>
      </w:r>
      <w:r>
        <w:rPr>
          <w:rFonts w:hint="eastAsia" w:ascii="方正仿宋_GBK" w:hAnsi="方正仿宋_GBK" w:eastAsia="方正仿宋_GBK" w:cs="方正仿宋_GBK"/>
          <w:sz w:val="18"/>
          <w:szCs w:val="18"/>
        </w:rPr>
        <w:t>月至202</w:t>
      </w:r>
      <w:r>
        <w:rPr>
          <w:rFonts w:hint="eastAsia" w:ascii="方正仿宋_GBK" w:hAnsi="方正仿宋_GBK" w:eastAsia="方正仿宋_GBK" w:cs="方正仿宋_GBK"/>
          <w:sz w:val="18"/>
          <w:szCs w:val="18"/>
          <w:lang w:val="en-US" w:eastAsia="zh-CN"/>
        </w:rPr>
        <w:t>3</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3</w:t>
      </w:r>
      <w:r>
        <w:rPr>
          <w:rFonts w:hint="eastAsia" w:ascii="方正仿宋_GBK" w:hAnsi="方正仿宋_GBK" w:eastAsia="方正仿宋_GBK" w:cs="方正仿宋_GBK"/>
          <w:sz w:val="18"/>
          <w:szCs w:val="18"/>
        </w:rPr>
        <w:t>月</w:t>
      </w:r>
    </w:p>
    <w:p w14:paraId="58C7D5CD">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00" w:lineRule="exact"/>
        <w:ind w:left="0" w:leftChars="0" w:right="0" w:rightChars="0" w:firstLine="360" w:firstLineChars="200"/>
        <w:jc w:val="both"/>
        <w:textAlignment w:val="auto"/>
        <w:outlineLvl w:val="1"/>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合作成果：（1）</w:t>
      </w:r>
      <w:r>
        <w:rPr>
          <w:rFonts w:hint="eastAsia" w:ascii="方正仿宋_GBK" w:hAnsi="方正仿宋_GBK" w:eastAsia="方正仿宋_GBK" w:cs="方正仿宋_GBK"/>
          <w:sz w:val="18"/>
          <w:szCs w:val="18"/>
          <w:lang w:val="en-US" w:eastAsia="zh-CN"/>
        </w:rPr>
        <w:t>团体标准：</w:t>
      </w:r>
      <w:r>
        <w:rPr>
          <w:rFonts w:hint="eastAsia" w:ascii="方正仿宋_GBK" w:hAnsi="方正仿宋_GBK" w:eastAsia="方正仿宋_GBK" w:cs="方正仿宋_GBK"/>
          <w:snapToGrid w:val="0"/>
          <w:color w:val="auto"/>
          <w:sz w:val="18"/>
          <w:szCs w:val="18"/>
          <w:highlight w:val="none"/>
          <w:lang w:val="en-US" w:eastAsia="zh-CN"/>
        </w:rPr>
        <w:t>免锚固移动护栏（T / TMAC053—2023）</w:t>
      </w:r>
      <w:r>
        <w:rPr>
          <w:rFonts w:hint="eastAsia" w:ascii="方正仿宋_GBK" w:hAnsi="方正仿宋_GBK" w:eastAsia="方正仿宋_GBK" w:cs="方正仿宋_GBK"/>
          <w:sz w:val="18"/>
          <w:szCs w:val="18"/>
        </w:rPr>
        <w:t>。</w:t>
      </w:r>
    </w:p>
    <w:p w14:paraId="2CDB828C">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6</w:t>
      </w:r>
      <w:r>
        <w:rPr>
          <w:rFonts w:hint="eastAsia" w:ascii="方正仿宋_GBK" w:hAnsi="方正仿宋_GBK" w:eastAsia="方正仿宋_GBK" w:cs="方正仿宋_GBK"/>
          <w:sz w:val="18"/>
          <w:szCs w:val="18"/>
        </w:rPr>
        <w:t>.合作方式：共同技术研发、共同成果推广</w:t>
      </w:r>
    </w:p>
    <w:p w14:paraId="766F7DC8">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lang w:eastAsia="zh-CN"/>
        </w:rPr>
      </w:pPr>
      <w:r>
        <w:rPr>
          <w:rFonts w:hint="eastAsia" w:ascii="方正仿宋_GBK" w:hAnsi="方正仿宋_GBK" w:eastAsia="方正仿宋_GBK" w:cs="方正仿宋_GBK"/>
          <w:sz w:val="18"/>
          <w:szCs w:val="18"/>
        </w:rPr>
        <w:t>合作者：</w:t>
      </w:r>
      <w:r>
        <w:rPr>
          <w:rFonts w:hint="eastAsia" w:ascii="方正仿宋_GBK" w:hAnsi="方正仿宋_GBK" w:eastAsia="方正仿宋_GBK" w:cs="方正仿宋_GBK"/>
          <w:snapToGrid w:val="0"/>
          <w:color w:val="auto"/>
          <w:sz w:val="18"/>
          <w:szCs w:val="18"/>
          <w:highlight w:val="none"/>
          <w:lang w:val="en-US" w:eastAsia="zh-CN"/>
        </w:rPr>
        <w:t>尤良春，陈亚振</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白彩霞</w:t>
      </w:r>
    </w:p>
    <w:p w14:paraId="57828D37">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合作时间：202</w:t>
      </w:r>
      <w:r>
        <w:rPr>
          <w:rFonts w:hint="eastAsia" w:ascii="方正仿宋_GBK" w:hAnsi="方正仿宋_GBK" w:eastAsia="方正仿宋_GBK" w:cs="方正仿宋_GBK"/>
          <w:sz w:val="18"/>
          <w:szCs w:val="18"/>
          <w:lang w:val="en-US" w:eastAsia="zh-CN"/>
        </w:rPr>
        <w:t>3</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11</w:t>
      </w:r>
      <w:r>
        <w:rPr>
          <w:rFonts w:hint="eastAsia" w:ascii="方正仿宋_GBK" w:hAnsi="方正仿宋_GBK" w:eastAsia="方正仿宋_GBK" w:cs="方正仿宋_GBK"/>
          <w:sz w:val="18"/>
          <w:szCs w:val="18"/>
        </w:rPr>
        <w:t>月至202</w:t>
      </w:r>
      <w:r>
        <w:rPr>
          <w:rFonts w:hint="eastAsia" w:ascii="方正仿宋_GBK" w:hAnsi="方正仿宋_GBK" w:eastAsia="方正仿宋_GBK" w:cs="方正仿宋_GBK"/>
          <w:sz w:val="18"/>
          <w:szCs w:val="18"/>
          <w:lang w:val="en-US" w:eastAsia="zh-CN"/>
        </w:rPr>
        <w:t>5</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4</w:t>
      </w:r>
      <w:r>
        <w:rPr>
          <w:rFonts w:hint="eastAsia" w:ascii="方正仿宋_GBK" w:hAnsi="方正仿宋_GBK" w:eastAsia="方正仿宋_GBK" w:cs="方正仿宋_GBK"/>
          <w:sz w:val="18"/>
          <w:szCs w:val="18"/>
        </w:rPr>
        <w:t>月</w:t>
      </w:r>
    </w:p>
    <w:p w14:paraId="205F52AE">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00" w:lineRule="exact"/>
        <w:ind w:left="0" w:leftChars="0" w:right="0" w:rightChars="0" w:firstLine="360" w:firstLineChars="200"/>
        <w:jc w:val="both"/>
        <w:textAlignment w:val="auto"/>
        <w:outlineLvl w:val="1"/>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合作成果：（1）</w:t>
      </w:r>
      <w:r>
        <w:rPr>
          <w:rFonts w:hint="eastAsia" w:ascii="方正仿宋_GBK" w:hAnsi="方正仿宋_GBK" w:eastAsia="方正仿宋_GBK" w:cs="方正仿宋_GBK"/>
          <w:sz w:val="18"/>
          <w:szCs w:val="18"/>
          <w:lang w:val="en-US" w:eastAsia="zh-CN"/>
        </w:rPr>
        <w:t>团体标准：</w:t>
      </w:r>
      <w:r>
        <w:rPr>
          <w:rFonts w:hint="eastAsia" w:ascii="方正仿宋_GBK" w:hAnsi="方正仿宋_GBK" w:eastAsia="方正仿宋_GBK" w:cs="方正仿宋_GBK"/>
          <w:snapToGrid w:val="0"/>
          <w:color w:val="auto"/>
          <w:sz w:val="18"/>
          <w:szCs w:val="18"/>
          <w:highlight w:val="none"/>
          <w:lang w:val="en-US" w:eastAsia="zh-CN"/>
        </w:rPr>
        <w:t>高速公路改扩建交通组织管理技术规程（T/CECS G:Q12-01-2024）</w:t>
      </w:r>
      <w:r>
        <w:rPr>
          <w:rFonts w:hint="eastAsia" w:ascii="方正仿宋_GBK" w:hAnsi="方正仿宋_GBK" w:eastAsia="方正仿宋_GBK" w:cs="方正仿宋_GBK"/>
          <w:sz w:val="18"/>
          <w:szCs w:val="18"/>
        </w:rPr>
        <w:t>。</w:t>
      </w:r>
    </w:p>
    <w:p w14:paraId="12F215B1">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以上合作关系情况详见附表。</w:t>
      </w:r>
    </w:p>
    <w:p w14:paraId="25B9BB80">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lang w:val="en-US" w:eastAsia="zh-CN"/>
        </w:rPr>
        <w:t>7</w:t>
      </w:r>
      <w:r>
        <w:rPr>
          <w:rFonts w:hint="eastAsia" w:ascii="方正仿宋_GBK" w:hAnsi="方正仿宋_GBK" w:eastAsia="方正仿宋_GBK" w:cs="方正仿宋_GBK"/>
          <w:sz w:val="18"/>
          <w:szCs w:val="18"/>
        </w:rPr>
        <w:t>.合作方式：共同成果推广</w:t>
      </w:r>
    </w:p>
    <w:p w14:paraId="4BA9FD8D">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lang w:eastAsia="zh-CN"/>
        </w:rPr>
      </w:pPr>
      <w:r>
        <w:rPr>
          <w:rFonts w:hint="eastAsia" w:ascii="方正仿宋_GBK" w:hAnsi="方正仿宋_GBK" w:eastAsia="方正仿宋_GBK" w:cs="方正仿宋_GBK"/>
          <w:sz w:val="18"/>
          <w:szCs w:val="18"/>
        </w:rPr>
        <w:t>合作者：</w:t>
      </w:r>
      <w:r>
        <w:rPr>
          <w:rFonts w:hint="eastAsia" w:ascii="方正仿宋_GBK" w:hAnsi="方正仿宋_GBK" w:eastAsia="方正仿宋_GBK" w:cs="方正仿宋_GBK"/>
          <w:sz w:val="18"/>
          <w:szCs w:val="18"/>
          <w:lang w:val="en-US" w:eastAsia="zh-CN"/>
        </w:rPr>
        <w:t>李育林</w:t>
      </w:r>
      <w:r>
        <w:rPr>
          <w:rFonts w:hint="eastAsia" w:ascii="方正仿宋_GBK" w:hAnsi="方正仿宋_GBK" w:eastAsia="方正仿宋_GBK" w:cs="方正仿宋_GBK"/>
          <w:sz w:val="18"/>
          <w:szCs w:val="18"/>
        </w:rPr>
        <w:t>，</w:t>
      </w:r>
      <w:r>
        <w:rPr>
          <w:rFonts w:hint="eastAsia" w:hAnsi="方正仿宋_GBK" w:cs="方正仿宋_GBK"/>
          <w:sz w:val="18"/>
          <w:szCs w:val="18"/>
          <w:lang w:val="en-US" w:eastAsia="zh-CN"/>
        </w:rPr>
        <w:t>张晶晶，</w:t>
      </w:r>
      <w:r>
        <w:rPr>
          <w:rFonts w:hint="eastAsia" w:ascii="方正仿宋_GBK" w:hAnsi="方正仿宋_GBK" w:eastAsia="方正仿宋_GBK" w:cs="方正仿宋_GBK"/>
          <w:sz w:val="18"/>
          <w:szCs w:val="18"/>
          <w:lang w:val="en-US" w:eastAsia="zh-CN"/>
        </w:rPr>
        <w:t>袁以堂</w:t>
      </w:r>
      <w:r>
        <w:rPr>
          <w:rFonts w:hint="eastAsia" w:ascii="方正仿宋_GBK" w:hAnsi="方正仿宋_GBK" w:eastAsia="方正仿宋_GBK" w:cs="方正仿宋_GBK"/>
          <w:sz w:val="18"/>
          <w:szCs w:val="18"/>
        </w:rPr>
        <w:t>，</w:t>
      </w:r>
      <w:r>
        <w:rPr>
          <w:rFonts w:hint="eastAsia" w:ascii="方正仿宋_GBK" w:hAnsi="方正仿宋_GBK" w:eastAsia="方正仿宋_GBK" w:cs="方正仿宋_GBK"/>
          <w:sz w:val="18"/>
          <w:szCs w:val="18"/>
          <w:lang w:val="en-US" w:eastAsia="zh-CN"/>
        </w:rPr>
        <w:t>熊清华</w:t>
      </w:r>
    </w:p>
    <w:p w14:paraId="5EAC49F2">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合作时间：202</w:t>
      </w:r>
      <w:r>
        <w:rPr>
          <w:rFonts w:hint="eastAsia" w:ascii="方正仿宋_GBK" w:hAnsi="方正仿宋_GBK" w:eastAsia="方正仿宋_GBK" w:cs="方正仿宋_GBK"/>
          <w:sz w:val="18"/>
          <w:szCs w:val="18"/>
          <w:lang w:val="en-US" w:eastAsia="zh-CN"/>
        </w:rPr>
        <w:t>0</w:t>
      </w:r>
      <w:r>
        <w:rPr>
          <w:rFonts w:hint="eastAsia" w:ascii="方正仿宋_GBK" w:hAnsi="方正仿宋_GBK" w:eastAsia="方正仿宋_GBK" w:cs="方正仿宋_GBK"/>
          <w:sz w:val="18"/>
          <w:szCs w:val="18"/>
        </w:rPr>
        <w:t>年</w:t>
      </w:r>
      <w:r>
        <w:rPr>
          <w:rFonts w:hint="eastAsia" w:ascii="方正仿宋_GBK" w:hAnsi="方正仿宋_GBK" w:eastAsia="方正仿宋_GBK" w:cs="方正仿宋_GBK"/>
          <w:sz w:val="18"/>
          <w:szCs w:val="18"/>
          <w:lang w:val="en-US" w:eastAsia="zh-CN"/>
        </w:rPr>
        <w:t>4</w:t>
      </w:r>
      <w:r>
        <w:rPr>
          <w:rFonts w:hint="eastAsia" w:ascii="方正仿宋_GBK" w:hAnsi="方正仿宋_GBK" w:eastAsia="方正仿宋_GBK" w:cs="方正仿宋_GBK"/>
          <w:sz w:val="18"/>
          <w:szCs w:val="18"/>
        </w:rPr>
        <w:t>月至202</w:t>
      </w:r>
      <w:r>
        <w:rPr>
          <w:rFonts w:hint="eastAsia" w:ascii="方正仿宋_GBK" w:hAnsi="方正仿宋_GBK" w:eastAsia="方正仿宋_GBK" w:cs="方正仿宋_GBK"/>
          <w:sz w:val="18"/>
          <w:szCs w:val="18"/>
          <w:lang w:val="en-US" w:eastAsia="zh-CN"/>
        </w:rPr>
        <w:t>5</w:t>
      </w:r>
      <w:r>
        <w:rPr>
          <w:rFonts w:hint="eastAsia" w:ascii="方正仿宋_GBK" w:hAnsi="方正仿宋_GBK" w:eastAsia="方正仿宋_GBK" w:cs="方正仿宋_GBK"/>
          <w:sz w:val="18"/>
          <w:szCs w:val="18"/>
        </w:rPr>
        <w:t>年12月</w:t>
      </w:r>
    </w:p>
    <w:p w14:paraId="39523C6A">
      <w:pPr>
        <w:keepNext w:val="0"/>
        <w:keepLines w:val="0"/>
        <w:pageBreakBefore w:val="0"/>
        <w:kinsoku/>
        <w:wordWrap/>
        <w:overflowPunct/>
        <w:topLinePunct w:val="0"/>
        <w:autoSpaceDE/>
        <w:autoSpaceDN/>
        <w:bidi w:val="0"/>
        <w:spacing w:line="300" w:lineRule="exact"/>
        <w:ind w:firstLine="360" w:firstLineChars="200"/>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合作成果：（1）应用证明。</w:t>
      </w:r>
    </w:p>
    <w:p w14:paraId="140F34C7">
      <w:pPr>
        <w:keepNext w:val="0"/>
        <w:keepLines w:val="0"/>
        <w:pageBreakBefore w:val="0"/>
        <w:kinsoku/>
        <w:wordWrap/>
        <w:overflowPunct/>
        <w:topLinePunct w:val="0"/>
        <w:autoSpaceDE/>
        <w:autoSpaceDN/>
        <w:bidi w:val="0"/>
        <w:spacing w:line="300" w:lineRule="exact"/>
        <w:textAlignment w:val="auto"/>
        <w:rPr>
          <w:rFonts w:hint="eastAsia" w:ascii="方正仿宋_GBK" w:hAnsi="方正仿宋_GBK" w:eastAsia="方正仿宋_GBK" w:cs="方正仿宋_GBK"/>
          <w:sz w:val="18"/>
          <w:szCs w:val="18"/>
        </w:rPr>
      </w:pPr>
      <w:r>
        <w:rPr>
          <w:rFonts w:hint="eastAsia" w:ascii="方正仿宋_GBK" w:hAnsi="方正仿宋_GBK" w:eastAsia="方正仿宋_GBK" w:cs="方正仿宋_GBK"/>
          <w:sz w:val="18"/>
          <w:szCs w:val="18"/>
        </w:rPr>
        <w:t>以上合作关系情况详见附表。</w:t>
      </w:r>
    </w:p>
    <w:p w14:paraId="3916FF3E">
      <w:pPr>
        <w:jc w:val="center"/>
        <w:rPr>
          <w:rFonts w:hint="eastAsia" w:ascii="方正仿宋_GBK" w:hAnsi="方正仿宋_GBK" w:eastAsia="方正仿宋_GBK" w:cs="方正仿宋_GBK"/>
          <w:b/>
          <w:bCs/>
          <w:sz w:val="18"/>
          <w:szCs w:val="18"/>
        </w:rPr>
      </w:pPr>
      <w:r>
        <w:rPr>
          <w:rFonts w:hint="eastAsia" w:ascii="方正仿宋_GBK" w:hAnsi="方正仿宋_GBK" w:eastAsia="方正仿宋_GBK" w:cs="方正仿宋_GBK"/>
          <w:b/>
          <w:bCs/>
          <w:sz w:val="18"/>
          <w:szCs w:val="18"/>
          <w:lang w:val="en-US" w:eastAsia="zh-CN"/>
        </w:rPr>
        <w:t>附表：候选个人合作情况汇总表</w:t>
      </w:r>
    </w:p>
    <w:tbl>
      <w:tblPr>
        <w:tblStyle w:val="10"/>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1575"/>
        <w:gridCol w:w="1642"/>
        <w:gridCol w:w="1608"/>
        <w:gridCol w:w="2522"/>
        <w:gridCol w:w="1005"/>
      </w:tblGrid>
      <w:tr w14:paraId="509B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635" w:type="dxa"/>
            <w:vAlign w:val="center"/>
          </w:tcPr>
          <w:p w14:paraId="47F92554">
            <w:pPr>
              <w:bidi w:val="0"/>
              <w:jc w:val="center"/>
              <w:rPr>
                <w:rFonts w:hint="eastAsia" w:ascii="方正仿宋_GBK" w:hAnsi="方正仿宋_GBK" w:eastAsia="方正仿宋_GBK" w:cs="方正仿宋_GBK"/>
                <w:b/>
                <w:bCs/>
                <w:sz w:val="18"/>
                <w:szCs w:val="18"/>
                <w:lang w:val="en-US" w:eastAsia="zh-CN"/>
              </w:rPr>
            </w:pPr>
            <w:r>
              <w:rPr>
                <w:rFonts w:hint="eastAsia" w:ascii="方正仿宋_GBK" w:hAnsi="方正仿宋_GBK" w:eastAsia="方正仿宋_GBK" w:cs="方正仿宋_GBK"/>
                <w:b/>
                <w:bCs/>
                <w:sz w:val="18"/>
                <w:szCs w:val="18"/>
                <w:lang w:val="en-US" w:eastAsia="zh-CN"/>
              </w:rPr>
              <w:t>序号</w:t>
            </w:r>
          </w:p>
        </w:tc>
        <w:tc>
          <w:tcPr>
            <w:tcW w:w="1575" w:type="dxa"/>
            <w:vAlign w:val="center"/>
          </w:tcPr>
          <w:p w14:paraId="0775E1D6">
            <w:pPr>
              <w:bidi w:val="0"/>
              <w:jc w:val="center"/>
              <w:rPr>
                <w:rFonts w:hint="eastAsia" w:ascii="方正仿宋_GBK" w:hAnsi="方正仿宋_GBK" w:eastAsia="方正仿宋_GBK" w:cs="方正仿宋_GBK"/>
                <w:b/>
                <w:bCs/>
                <w:sz w:val="18"/>
                <w:szCs w:val="18"/>
                <w:lang w:val="en-US" w:eastAsia="zh-CN"/>
              </w:rPr>
            </w:pPr>
            <w:r>
              <w:rPr>
                <w:rFonts w:hint="eastAsia" w:ascii="方正仿宋_GBK" w:hAnsi="方正仿宋_GBK" w:eastAsia="方正仿宋_GBK" w:cs="方正仿宋_GBK"/>
                <w:b/>
                <w:bCs/>
                <w:sz w:val="18"/>
                <w:szCs w:val="18"/>
                <w:lang w:val="en-US" w:eastAsia="zh-CN"/>
              </w:rPr>
              <w:t>合作方式</w:t>
            </w:r>
          </w:p>
        </w:tc>
        <w:tc>
          <w:tcPr>
            <w:tcW w:w="1642" w:type="dxa"/>
            <w:vAlign w:val="center"/>
          </w:tcPr>
          <w:p w14:paraId="58247F3F">
            <w:pPr>
              <w:bidi w:val="0"/>
              <w:jc w:val="center"/>
              <w:rPr>
                <w:rFonts w:hint="eastAsia" w:ascii="方正仿宋_GBK" w:hAnsi="方正仿宋_GBK" w:eastAsia="方正仿宋_GBK" w:cs="方正仿宋_GBK"/>
                <w:b/>
                <w:bCs/>
                <w:sz w:val="18"/>
                <w:szCs w:val="18"/>
                <w:lang w:val="en-US" w:eastAsia="zh-CN"/>
              </w:rPr>
            </w:pPr>
            <w:r>
              <w:rPr>
                <w:rFonts w:hint="eastAsia" w:ascii="方正仿宋_GBK" w:hAnsi="方正仿宋_GBK" w:eastAsia="方正仿宋_GBK" w:cs="方正仿宋_GBK"/>
                <w:b/>
                <w:bCs/>
                <w:sz w:val="18"/>
                <w:szCs w:val="18"/>
                <w:lang w:val="en-US" w:eastAsia="zh-CN"/>
              </w:rPr>
              <w:t>合作者</w:t>
            </w:r>
          </w:p>
        </w:tc>
        <w:tc>
          <w:tcPr>
            <w:tcW w:w="1608" w:type="dxa"/>
            <w:vAlign w:val="center"/>
          </w:tcPr>
          <w:p w14:paraId="0304D76A">
            <w:pPr>
              <w:bidi w:val="0"/>
              <w:jc w:val="center"/>
              <w:rPr>
                <w:rFonts w:hint="eastAsia" w:ascii="方正仿宋_GBK" w:hAnsi="方正仿宋_GBK" w:eastAsia="方正仿宋_GBK" w:cs="方正仿宋_GBK"/>
                <w:b/>
                <w:bCs/>
                <w:sz w:val="18"/>
                <w:szCs w:val="18"/>
                <w:lang w:val="en-US" w:eastAsia="zh-CN"/>
              </w:rPr>
            </w:pPr>
            <w:r>
              <w:rPr>
                <w:rFonts w:hint="eastAsia" w:ascii="方正仿宋_GBK" w:hAnsi="方正仿宋_GBK" w:eastAsia="方正仿宋_GBK" w:cs="方正仿宋_GBK"/>
                <w:b/>
                <w:bCs/>
                <w:sz w:val="18"/>
                <w:szCs w:val="18"/>
                <w:lang w:val="en-US" w:eastAsia="zh-CN"/>
              </w:rPr>
              <w:t>合作时间</w:t>
            </w:r>
          </w:p>
        </w:tc>
        <w:tc>
          <w:tcPr>
            <w:tcW w:w="2522" w:type="dxa"/>
            <w:vAlign w:val="center"/>
          </w:tcPr>
          <w:p w14:paraId="6AFB8E52">
            <w:pPr>
              <w:bidi w:val="0"/>
              <w:jc w:val="center"/>
              <w:rPr>
                <w:rFonts w:hint="eastAsia" w:ascii="方正仿宋_GBK" w:hAnsi="方正仿宋_GBK" w:eastAsia="方正仿宋_GBK" w:cs="方正仿宋_GBK"/>
                <w:b/>
                <w:bCs/>
                <w:sz w:val="18"/>
                <w:szCs w:val="18"/>
                <w:lang w:val="en-US" w:eastAsia="zh-CN"/>
              </w:rPr>
            </w:pPr>
            <w:r>
              <w:rPr>
                <w:rFonts w:hint="eastAsia" w:ascii="方正仿宋_GBK" w:hAnsi="方正仿宋_GBK" w:eastAsia="方正仿宋_GBK" w:cs="方正仿宋_GBK"/>
                <w:b/>
                <w:bCs/>
                <w:sz w:val="18"/>
                <w:szCs w:val="18"/>
                <w:lang w:val="en-US" w:eastAsia="zh-CN"/>
              </w:rPr>
              <w:t>合作成果</w:t>
            </w:r>
          </w:p>
        </w:tc>
        <w:tc>
          <w:tcPr>
            <w:tcW w:w="1005" w:type="dxa"/>
            <w:vAlign w:val="center"/>
          </w:tcPr>
          <w:p w14:paraId="137D23BB">
            <w:pPr>
              <w:bidi w:val="0"/>
              <w:jc w:val="center"/>
              <w:rPr>
                <w:rFonts w:hint="eastAsia" w:ascii="方正仿宋_GBK" w:hAnsi="方正仿宋_GBK" w:eastAsia="方正仿宋_GBK" w:cs="方正仿宋_GBK"/>
                <w:b/>
                <w:bCs/>
                <w:sz w:val="18"/>
                <w:szCs w:val="18"/>
                <w:lang w:val="en-US" w:eastAsia="zh-CN"/>
              </w:rPr>
            </w:pPr>
            <w:r>
              <w:rPr>
                <w:rFonts w:hint="eastAsia" w:ascii="方正仿宋_GBK" w:hAnsi="方正仿宋_GBK" w:eastAsia="方正仿宋_GBK" w:cs="方正仿宋_GBK"/>
                <w:b/>
                <w:bCs/>
                <w:sz w:val="18"/>
                <w:szCs w:val="18"/>
                <w:lang w:val="en-US" w:eastAsia="zh-CN"/>
              </w:rPr>
              <w:t>备注</w:t>
            </w:r>
          </w:p>
        </w:tc>
      </w:tr>
      <w:tr w14:paraId="54782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5" w:type="dxa"/>
            <w:vAlign w:val="center"/>
          </w:tcPr>
          <w:p w14:paraId="313CEE9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1</w:t>
            </w:r>
          </w:p>
        </w:tc>
        <w:tc>
          <w:tcPr>
            <w:tcW w:w="1575" w:type="dxa"/>
            <w:vAlign w:val="center"/>
          </w:tcPr>
          <w:p w14:paraId="2754A4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共同技术研发</w:t>
            </w:r>
          </w:p>
        </w:tc>
        <w:tc>
          <w:tcPr>
            <w:tcW w:w="1642" w:type="dxa"/>
            <w:vAlign w:val="center"/>
          </w:tcPr>
          <w:p w14:paraId="7C3799A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尤良春，陈亚振</w:t>
            </w:r>
          </w:p>
        </w:tc>
        <w:tc>
          <w:tcPr>
            <w:tcW w:w="1608" w:type="dxa"/>
            <w:vAlign w:val="center"/>
          </w:tcPr>
          <w:p w14:paraId="7BE56F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1</w:t>
            </w:r>
            <w:r>
              <w:rPr>
                <w:rFonts w:hint="eastAsia" w:hAnsi="方正仿宋_GBK" w:cs="方正仿宋_GBK"/>
                <w:sz w:val="18"/>
                <w:szCs w:val="18"/>
                <w:lang w:eastAsia="zh-CN"/>
              </w:rPr>
              <w:t>.</w:t>
            </w:r>
            <w:r>
              <w:rPr>
                <w:rFonts w:hint="eastAsia" w:ascii="方正仿宋_GBK" w:hAnsi="方正仿宋_GBK" w:eastAsia="方正仿宋_GBK" w:cs="方正仿宋_GBK"/>
                <w:sz w:val="18"/>
                <w:szCs w:val="18"/>
              </w:rPr>
              <w:t>6</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3</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8</w:t>
            </w:r>
          </w:p>
        </w:tc>
        <w:tc>
          <w:tcPr>
            <w:tcW w:w="2522" w:type="dxa"/>
            <w:vAlign w:val="center"/>
          </w:tcPr>
          <w:p w14:paraId="54C1058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一种便捷式可移动防撞护栏</w:t>
            </w:r>
          </w:p>
        </w:tc>
        <w:tc>
          <w:tcPr>
            <w:tcW w:w="1005" w:type="dxa"/>
            <w:vAlign w:val="center"/>
          </w:tcPr>
          <w:p w14:paraId="556E6C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发明专利</w:t>
            </w:r>
          </w:p>
        </w:tc>
      </w:tr>
      <w:tr w14:paraId="061D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5" w:type="dxa"/>
            <w:vAlign w:val="center"/>
          </w:tcPr>
          <w:p w14:paraId="081BF02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2</w:t>
            </w:r>
          </w:p>
        </w:tc>
        <w:tc>
          <w:tcPr>
            <w:tcW w:w="1575" w:type="dxa"/>
            <w:vAlign w:val="center"/>
          </w:tcPr>
          <w:p w14:paraId="509AAA2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共同技术研发</w:t>
            </w:r>
          </w:p>
        </w:tc>
        <w:tc>
          <w:tcPr>
            <w:tcW w:w="1642" w:type="dxa"/>
            <w:vAlign w:val="center"/>
          </w:tcPr>
          <w:p w14:paraId="5F6AD06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杨洋、尤良春，陈亚振</w:t>
            </w:r>
          </w:p>
        </w:tc>
        <w:tc>
          <w:tcPr>
            <w:tcW w:w="1608" w:type="dxa"/>
            <w:vAlign w:val="center"/>
          </w:tcPr>
          <w:p w14:paraId="2D4697D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3</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11</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2025</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9</w:t>
            </w:r>
          </w:p>
        </w:tc>
        <w:tc>
          <w:tcPr>
            <w:tcW w:w="2522" w:type="dxa"/>
            <w:vAlign w:val="center"/>
          </w:tcPr>
          <w:p w14:paraId="567F211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一种装配式免锚固移动护栏</w:t>
            </w:r>
          </w:p>
        </w:tc>
        <w:tc>
          <w:tcPr>
            <w:tcW w:w="1005" w:type="dxa"/>
            <w:vAlign w:val="center"/>
          </w:tcPr>
          <w:p w14:paraId="5C99BD3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发明专利</w:t>
            </w:r>
          </w:p>
        </w:tc>
      </w:tr>
      <w:tr w14:paraId="60CF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5" w:type="dxa"/>
            <w:vAlign w:val="center"/>
          </w:tcPr>
          <w:p w14:paraId="500A12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3</w:t>
            </w:r>
          </w:p>
        </w:tc>
        <w:tc>
          <w:tcPr>
            <w:tcW w:w="1575" w:type="dxa"/>
            <w:vAlign w:val="center"/>
          </w:tcPr>
          <w:p w14:paraId="16D4579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共同技术研发</w:t>
            </w:r>
          </w:p>
        </w:tc>
        <w:tc>
          <w:tcPr>
            <w:tcW w:w="1642" w:type="dxa"/>
            <w:vAlign w:val="center"/>
          </w:tcPr>
          <w:p w14:paraId="4BC9480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杨洋、白彩霞</w:t>
            </w:r>
          </w:p>
        </w:tc>
        <w:tc>
          <w:tcPr>
            <w:tcW w:w="1608" w:type="dxa"/>
            <w:vAlign w:val="center"/>
          </w:tcPr>
          <w:p w14:paraId="66EA00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4</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6</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2025</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9</w:t>
            </w:r>
          </w:p>
        </w:tc>
        <w:tc>
          <w:tcPr>
            <w:tcW w:w="2522" w:type="dxa"/>
            <w:vAlign w:val="center"/>
          </w:tcPr>
          <w:p w14:paraId="281DC3E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一种装配式免锚固移动护栏的连接结构</w:t>
            </w:r>
          </w:p>
        </w:tc>
        <w:tc>
          <w:tcPr>
            <w:tcW w:w="1005" w:type="dxa"/>
            <w:vAlign w:val="center"/>
          </w:tcPr>
          <w:p w14:paraId="4F972A8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发明专利</w:t>
            </w:r>
          </w:p>
        </w:tc>
      </w:tr>
      <w:tr w14:paraId="01FC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5" w:type="dxa"/>
            <w:vAlign w:val="center"/>
          </w:tcPr>
          <w:p w14:paraId="08A46F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4</w:t>
            </w:r>
          </w:p>
        </w:tc>
        <w:tc>
          <w:tcPr>
            <w:tcW w:w="1575" w:type="dxa"/>
            <w:vAlign w:val="center"/>
          </w:tcPr>
          <w:p w14:paraId="54D1CA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共同技术研发</w:t>
            </w:r>
          </w:p>
        </w:tc>
        <w:tc>
          <w:tcPr>
            <w:tcW w:w="1642" w:type="dxa"/>
            <w:vAlign w:val="center"/>
          </w:tcPr>
          <w:p w14:paraId="6FD98C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尤良春，陈亚振</w:t>
            </w:r>
          </w:p>
        </w:tc>
        <w:tc>
          <w:tcPr>
            <w:tcW w:w="1608" w:type="dxa"/>
            <w:vAlign w:val="center"/>
          </w:tcPr>
          <w:p w14:paraId="2DBE668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4</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9</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6</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4</w:t>
            </w:r>
          </w:p>
        </w:tc>
        <w:tc>
          <w:tcPr>
            <w:tcW w:w="2522" w:type="dxa"/>
            <w:vAlign w:val="center"/>
          </w:tcPr>
          <w:p w14:paraId="1FBF829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一种利旧填充式免锚固护栏</w:t>
            </w:r>
          </w:p>
        </w:tc>
        <w:tc>
          <w:tcPr>
            <w:tcW w:w="1005" w:type="dxa"/>
            <w:vAlign w:val="center"/>
          </w:tcPr>
          <w:p w14:paraId="3C7DA29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发明专利</w:t>
            </w:r>
          </w:p>
        </w:tc>
      </w:tr>
      <w:tr w14:paraId="3B65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5" w:type="dxa"/>
            <w:vAlign w:val="center"/>
          </w:tcPr>
          <w:p w14:paraId="5140E8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5</w:t>
            </w:r>
          </w:p>
        </w:tc>
        <w:tc>
          <w:tcPr>
            <w:tcW w:w="1575" w:type="dxa"/>
            <w:vAlign w:val="center"/>
          </w:tcPr>
          <w:p w14:paraId="48339B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共同技术研发、共同成果推广</w:t>
            </w:r>
          </w:p>
        </w:tc>
        <w:tc>
          <w:tcPr>
            <w:tcW w:w="1642" w:type="dxa"/>
            <w:vAlign w:val="center"/>
          </w:tcPr>
          <w:p w14:paraId="28653D9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尤良春，陈亚振白彩霞</w:t>
            </w:r>
          </w:p>
        </w:tc>
        <w:tc>
          <w:tcPr>
            <w:tcW w:w="1608" w:type="dxa"/>
            <w:vAlign w:val="center"/>
          </w:tcPr>
          <w:p w14:paraId="5EA9DD7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1</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9</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3</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3</w:t>
            </w:r>
          </w:p>
        </w:tc>
        <w:tc>
          <w:tcPr>
            <w:tcW w:w="2522" w:type="dxa"/>
            <w:vAlign w:val="center"/>
          </w:tcPr>
          <w:p w14:paraId="46CCEE0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免锚固移动护栏（T / TMAC053—2023）</w:t>
            </w:r>
          </w:p>
        </w:tc>
        <w:tc>
          <w:tcPr>
            <w:tcW w:w="1005" w:type="dxa"/>
            <w:vAlign w:val="center"/>
          </w:tcPr>
          <w:p w14:paraId="0C86CD3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团体标准</w:t>
            </w:r>
          </w:p>
        </w:tc>
      </w:tr>
      <w:tr w14:paraId="6AD2E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35" w:type="dxa"/>
            <w:vAlign w:val="center"/>
          </w:tcPr>
          <w:p w14:paraId="2F2EAB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6</w:t>
            </w:r>
          </w:p>
        </w:tc>
        <w:tc>
          <w:tcPr>
            <w:tcW w:w="1575" w:type="dxa"/>
            <w:vAlign w:val="center"/>
          </w:tcPr>
          <w:p w14:paraId="5C85D1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共同技术研发、共同成果推广</w:t>
            </w:r>
          </w:p>
        </w:tc>
        <w:tc>
          <w:tcPr>
            <w:tcW w:w="1642" w:type="dxa"/>
            <w:vAlign w:val="center"/>
          </w:tcPr>
          <w:p w14:paraId="0B43371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尤良春，陈亚振白彩霞</w:t>
            </w:r>
          </w:p>
        </w:tc>
        <w:tc>
          <w:tcPr>
            <w:tcW w:w="1608" w:type="dxa"/>
            <w:vAlign w:val="center"/>
          </w:tcPr>
          <w:p w14:paraId="79E6D0D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3</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11</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rPr>
              <w:t>202</w:t>
            </w:r>
            <w:r>
              <w:rPr>
                <w:rFonts w:hint="eastAsia" w:ascii="方正仿宋_GBK" w:hAnsi="方正仿宋_GBK" w:eastAsia="方正仿宋_GBK" w:cs="方正仿宋_GBK"/>
                <w:sz w:val="18"/>
                <w:szCs w:val="18"/>
                <w:lang w:val="en-US" w:eastAsia="zh-CN"/>
              </w:rPr>
              <w:t>5</w:t>
            </w:r>
            <w:r>
              <w:rPr>
                <w:rFonts w:hint="eastAsia" w:hAnsi="方正仿宋_GBK" w:cs="方正仿宋_GBK"/>
                <w:sz w:val="18"/>
                <w:szCs w:val="18"/>
                <w:lang w:val="en-US" w:eastAsia="zh-CN"/>
              </w:rPr>
              <w:t>.</w:t>
            </w:r>
            <w:r>
              <w:rPr>
                <w:rFonts w:hint="eastAsia" w:ascii="方正仿宋_GBK" w:hAnsi="方正仿宋_GBK" w:eastAsia="方正仿宋_GBK" w:cs="方正仿宋_GBK"/>
                <w:sz w:val="18"/>
                <w:szCs w:val="18"/>
                <w:lang w:val="en-US" w:eastAsia="zh-CN"/>
              </w:rPr>
              <w:t>4</w:t>
            </w:r>
          </w:p>
        </w:tc>
        <w:tc>
          <w:tcPr>
            <w:tcW w:w="2522" w:type="dxa"/>
            <w:vAlign w:val="center"/>
          </w:tcPr>
          <w:p w14:paraId="785AFB1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高速公路改扩建交通组织管理技术规程（T/CECS G:Q12-01-2024）</w:t>
            </w:r>
          </w:p>
        </w:tc>
        <w:tc>
          <w:tcPr>
            <w:tcW w:w="1005" w:type="dxa"/>
            <w:vAlign w:val="center"/>
          </w:tcPr>
          <w:p w14:paraId="39B49F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仿宋_GBK" w:hAnsi="方正仿宋_GBK" w:eastAsia="方正仿宋_GBK" w:cs="方正仿宋_GBK"/>
                <w:sz w:val="18"/>
                <w:szCs w:val="18"/>
                <w:lang w:val="en-US" w:eastAsia="zh-CN"/>
              </w:rPr>
            </w:pPr>
            <w:r>
              <w:rPr>
                <w:rFonts w:hint="eastAsia" w:ascii="方正仿宋_GBK" w:hAnsi="方正仿宋_GBK" w:eastAsia="方正仿宋_GBK" w:cs="方正仿宋_GBK"/>
                <w:sz w:val="18"/>
                <w:szCs w:val="18"/>
                <w:lang w:val="en-US" w:eastAsia="zh-CN"/>
              </w:rPr>
              <w:t>团体标准</w:t>
            </w:r>
          </w:p>
        </w:tc>
      </w:tr>
    </w:tbl>
    <w:p w14:paraId="46020BF0">
      <w:pPr>
        <w:bidi w:val="0"/>
        <w:ind w:firstLine="360" w:firstLineChars="200"/>
        <w:rPr>
          <w:rFonts w:hint="eastAsia" w:ascii="宋体" w:hAnsi="宋体" w:eastAsia="宋体" w:cs="宋体"/>
          <w:sz w:val="18"/>
          <w:szCs w:val="18"/>
        </w:rPr>
      </w:pPr>
    </w:p>
    <w:sectPr>
      <w:pgSz w:w="11906" w:h="16838"/>
      <w:pgMar w:top="1247" w:right="1800" w:bottom="1247" w:left="1800" w:header="851" w:footer="992" w:gutter="0"/>
      <w:cols w:space="0" w:num="1"/>
      <w:rtlGutter w:val="0"/>
      <w:docGrid w:type="lines" w:linePitch="4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embedRegular r:id="rId1" w:fontKey="{0A036606-888E-4B84-BCC4-BB1D796377CC}"/>
  </w:font>
  <w:font w:name="CG Times">
    <w:altName w:val="Times New Roman"/>
    <w:panose1 w:val="00000000000000000000"/>
    <w:charset w:val="00"/>
    <w:family w:val="roman"/>
    <w:pitch w:val="default"/>
    <w:sig w:usb0="00000000" w:usb1="00000000" w:usb2="00000000" w:usb3="00000000" w:csb0="00000093" w:csb1="00000000"/>
  </w:font>
  <w:font w:name="方正仿宋简体">
    <w:panose1 w:val="02000000000000000000"/>
    <w:charset w:val="86"/>
    <w:family w:val="script"/>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B61C64DB-0B49-4B75-BF73-3DEAFD0EC6DC}"/>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3" w:fontKey="{CF8F36BA-92FD-4B98-A63B-FE647588B506}"/>
  </w:font>
  <w:font w:name="方正黑体_GBK">
    <w:panose1 w:val="02010600010101010101"/>
    <w:charset w:val="86"/>
    <w:family w:val="script"/>
    <w:pitch w:val="default"/>
    <w:sig w:usb0="00000001" w:usb1="080E0000" w:usb2="00000000" w:usb3="00000000" w:csb0="00040000" w:csb1="00000000"/>
    <w:embedRegular r:id="rId4" w:fontKey="{B2016490-37CE-412C-9065-10639BF6D317}"/>
  </w:font>
  <w:font w:name="WPSEMBED1">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222"/>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0AD"/>
    <w:rsid w:val="00003AFB"/>
    <w:rsid w:val="001F4090"/>
    <w:rsid w:val="0030159A"/>
    <w:rsid w:val="00311E43"/>
    <w:rsid w:val="00317665"/>
    <w:rsid w:val="00321480"/>
    <w:rsid w:val="00374D09"/>
    <w:rsid w:val="004A1F77"/>
    <w:rsid w:val="00603853"/>
    <w:rsid w:val="006930AD"/>
    <w:rsid w:val="006E24BC"/>
    <w:rsid w:val="006F6D4A"/>
    <w:rsid w:val="007C153C"/>
    <w:rsid w:val="0099616D"/>
    <w:rsid w:val="009F584C"/>
    <w:rsid w:val="026E54F6"/>
    <w:rsid w:val="03425E71"/>
    <w:rsid w:val="089A4314"/>
    <w:rsid w:val="09364B8D"/>
    <w:rsid w:val="0B9F1C6E"/>
    <w:rsid w:val="1457163D"/>
    <w:rsid w:val="15323E58"/>
    <w:rsid w:val="1998290F"/>
    <w:rsid w:val="1DD939D5"/>
    <w:rsid w:val="214F4B6D"/>
    <w:rsid w:val="216672FE"/>
    <w:rsid w:val="235976EC"/>
    <w:rsid w:val="258204E4"/>
    <w:rsid w:val="287265EE"/>
    <w:rsid w:val="2A0D0CC4"/>
    <w:rsid w:val="2CB01DDA"/>
    <w:rsid w:val="3ABB3E24"/>
    <w:rsid w:val="40CD3D02"/>
    <w:rsid w:val="42725710"/>
    <w:rsid w:val="46265402"/>
    <w:rsid w:val="48E1301E"/>
    <w:rsid w:val="4DC332C4"/>
    <w:rsid w:val="50C11798"/>
    <w:rsid w:val="514852A8"/>
    <w:rsid w:val="550E3200"/>
    <w:rsid w:val="5D3543FB"/>
    <w:rsid w:val="5DAD2634"/>
    <w:rsid w:val="5F081AA9"/>
    <w:rsid w:val="63A252D2"/>
    <w:rsid w:val="699B4C9D"/>
    <w:rsid w:val="6AC45A77"/>
    <w:rsid w:val="7027728A"/>
    <w:rsid w:val="717F55E2"/>
    <w:rsid w:val="72287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方正仿宋_GBK" w:hAnsi="Times New Roman" w:eastAsia="方正仿宋_GBK" w:cs="Times New Roman"/>
      <w:kern w:val="2"/>
      <w:sz w:val="32"/>
      <w:szCs w:val="20"/>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pPr>
      <w:spacing w:line="360" w:lineRule="auto"/>
      <w:ind w:firstLine="480" w:firstLineChars="200"/>
    </w:pPr>
    <w:rPr>
      <w:rFonts w:ascii="仿宋_GB2312"/>
      <w:sz w:val="24"/>
    </w:rPr>
  </w:style>
  <w:style w:type="paragraph" w:styleId="3">
    <w:name w:val="Body Text"/>
    <w:basedOn w:val="1"/>
    <w:link w:val="19"/>
    <w:qFormat/>
    <w:uiPriority w:val="0"/>
    <w:pPr>
      <w:spacing w:line="600" w:lineRule="exact"/>
    </w:pPr>
    <w:rPr>
      <w:rFonts w:ascii="CG Times" w:hAnsi="CG Times" w:eastAsia="方正仿宋简体" w:cstheme="minorBidi"/>
      <w:sz w:val="52"/>
      <w:szCs w:val="22"/>
    </w:rPr>
  </w:style>
  <w:style w:type="paragraph" w:styleId="4">
    <w:name w:val="footer"/>
    <w:basedOn w:val="1"/>
    <w:link w:val="1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Subtitle"/>
    <w:basedOn w:val="1"/>
    <w:next w:val="1"/>
    <w:link w:val="17"/>
    <w:qFormat/>
    <w:uiPriority w:val="0"/>
    <w:pPr>
      <w:spacing w:before="240" w:after="60" w:line="312" w:lineRule="auto"/>
      <w:jc w:val="center"/>
      <w:outlineLvl w:val="1"/>
    </w:pPr>
    <w:rPr>
      <w:rFonts w:ascii="Cambria" w:hAnsi="Cambria" w:eastAsiaTheme="minorEastAsia"/>
      <w:b/>
      <w:bCs/>
      <w:kern w:val="28"/>
      <w:szCs w:val="32"/>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Title"/>
    <w:basedOn w:val="1"/>
    <w:next w:val="1"/>
    <w:link w:val="16"/>
    <w:qFormat/>
    <w:uiPriority w:val="0"/>
    <w:pPr>
      <w:spacing w:before="240" w:after="60"/>
      <w:jc w:val="center"/>
      <w:outlineLvl w:val="0"/>
    </w:pPr>
    <w:rPr>
      <w:rFonts w:ascii="Cambria" w:hAnsi="Cambria" w:eastAsiaTheme="minorEastAsia" w:cstheme="minorBidi"/>
      <w:b/>
      <w:bCs/>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5-正文"/>
    <w:basedOn w:val="1"/>
    <w:qFormat/>
    <w:uiPriority w:val="0"/>
    <w:pPr>
      <w:spacing w:before="100" w:beforeAutospacing="1" w:after="100" w:afterAutospacing="1" w:line="360" w:lineRule="auto"/>
      <w:ind w:firstLine="480" w:firstLineChars="200"/>
    </w:pPr>
    <w:rPr>
      <w:bCs/>
      <w:kern w:val="0"/>
      <w:sz w:val="24"/>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字符"/>
    <w:basedOn w:val="11"/>
    <w:link w:val="5"/>
    <w:qFormat/>
    <w:uiPriority w:val="99"/>
    <w:rPr>
      <w:sz w:val="18"/>
      <w:szCs w:val="18"/>
    </w:rPr>
  </w:style>
  <w:style w:type="character" w:customStyle="1" w:styleId="15">
    <w:name w:val="页脚 字符"/>
    <w:basedOn w:val="11"/>
    <w:link w:val="4"/>
    <w:qFormat/>
    <w:uiPriority w:val="99"/>
    <w:rPr>
      <w:sz w:val="18"/>
      <w:szCs w:val="18"/>
    </w:rPr>
  </w:style>
  <w:style w:type="character" w:customStyle="1" w:styleId="16">
    <w:name w:val="标题 字符1"/>
    <w:link w:val="8"/>
    <w:qFormat/>
    <w:uiPriority w:val="0"/>
    <w:rPr>
      <w:rFonts w:ascii="Cambria" w:hAnsi="Cambria"/>
      <w:b/>
      <w:bCs/>
      <w:sz w:val="32"/>
      <w:szCs w:val="32"/>
    </w:rPr>
  </w:style>
  <w:style w:type="character" w:customStyle="1" w:styleId="17">
    <w:name w:val="副标题 字符1"/>
    <w:link w:val="6"/>
    <w:qFormat/>
    <w:uiPriority w:val="0"/>
    <w:rPr>
      <w:rFonts w:ascii="Cambria" w:hAnsi="Cambria" w:cs="Times New Roman"/>
      <w:b/>
      <w:bCs/>
      <w:kern w:val="28"/>
      <w:sz w:val="32"/>
      <w:szCs w:val="32"/>
    </w:rPr>
  </w:style>
  <w:style w:type="character" w:customStyle="1" w:styleId="18">
    <w:name w:val="17"/>
    <w:qFormat/>
    <w:uiPriority w:val="0"/>
    <w:rPr>
      <w:rFonts w:hint="eastAsia" w:ascii="仿宋_GB2312" w:eastAsia="仿宋_GB2312"/>
      <w:b/>
      <w:bCs/>
      <w:kern w:val="44"/>
      <w:sz w:val="44"/>
      <w:szCs w:val="44"/>
    </w:rPr>
  </w:style>
  <w:style w:type="character" w:customStyle="1" w:styleId="19">
    <w:name w:val="正文文本 字符1"/>
    <w:link w:val="3"/>
    <w:qFormat/>
    <w:uiPriority w:val="0"/>
    <w:rPr>
      <w:rFonts w:ascii="CG Times" w:hAnsi="CG Times" w:eastAsia="方正仿宋简体"/>
      <w:sz w:val="52"/>
    </w:rPr>
  </w:style>
  <w:style w:type="character" w:customStyle="1" w:styleId="20">
    <w:name w:val="正文文本 字符"/>
    <w:basedOn w:val="11"/>
    <w:semiHidden/>
    <w:qFormat/>
    <w:uiPriority w:val="99"/>
    <w:rPr>
      <w:rFonts w:ascii="方正仿宋_GBK" w:hAnsi="Times New Roman" w:eastAsia="方正仿宋_GBK" w:cs="Times New Roman"/>
      <w:sz w:val="32"/>
      <w:szCs w:val="20"/>
    </w:rPr>
  </w:style>
  <w:style w:type="character" w:customStyle="1" w:styleId="21">
    <w:name w:val="标题 字符"/>
    <w:basedOn w:val="11"/>
    <w:qFormat/>
    <w:uiPriority w:val="10"/>
    <w:rPr>
      <w:rFonts w:asciiTheme="majorHAnsi" w:hAnsiTheme="majorHAnsi" w:eastAsiaTheme="majorEastAsia" w:cstheme="majorBidi"/>
      <w:b/>
      <w:bCs/>
      <w:sz w:val="32"/>
      <w:szCs w:val="32"/>
    </w:rPr>
  </w:style>
  <w:style w:type="paragraph" w:customStyle="1" w:styleId="22">
    <w:name w:val="_Style 15"/>
    <w:basedOn w:val="1"/>
    <w:next w:val="1"/>
    <w:unhideWhenUsed/>
    <w:qFormat/>
    <w:uiPriority w:val="39"/>
    <w:pPr>
      <w:widowControl/>
      <w:spacing w:after="100" w:line="276" w:lineRule="auto"/>
      <w:ind w:left="220"/>
      <w:jc w:val="left"/>
    </w:pPr>
    <w:rPr>
      <w:rFonts w:ascii="Calibri" w:hAnsi="Calibri" w:eastAsia="宋体"/>
      <w:kern w:val="0"/>
      <w:sz w:val="22"/>
      <w:szCs w:val="22"/>
    </w:rPr>
  </w:style>
  <w:style w:type="character" w:customStyle="1" w:styleId="23">
    <w:name w:val="副标题 字符"/>
    <w:basedOn w:val="11"/>
    <w:qFormat/>
    <w:uiPriority w:val="11"/>
    <w:rPr>
      <w:b/>
      <w:bCs/>
      <w:kern w:val="28"/>
      <w:sz w:val="32"/>
      <w:szCs w:val="32"/>
    </w:r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2743</Words>
  <Characters>3281</Characters>
  <Lines>6</Lines>
  <Paragraphs>1</Paragraphs>
  <TotalTime>0</TotalTime>
  <ScaleCrop>false</ScaleCrop>
  <LinksUpToDate>false</LinksUpToDate>
  <CharactersWithSpaces>3315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2022-06-13T01:58:00Z</dcterms:created>
  <dc:creator>科技处办公室</dc:creator>
  <cp:lastModifiedBy>周扬</cp:lastModifiedBy>
  <dcterms:modified xsi:type="dcterms:W3CDTF">2026-10-08T14:01:51Z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eyJoZGlkIjoiZGMxNzA1YzczYjlkNDNkNGVmYmJmYzViNzEzYTNjMWEiLCJ1c2VySWQiOiI4ODg0ODIxODMifQ==</vt:lpwstr>
  </property>
  <property fmtid="{D5CDD505-2E9C-101B-9397-08002B2CF9AE}" pid="3" name="KSOProductBuildVer">
    <vt:lpwstr>2052-12.1.0.28043</vt:lpwstr>
  </property>
  <property fmtid="{D5CDD505-2E9C-101B-9397-08002B2CF9AE}" pid="4" name="ICV">
    <vt:lpwstr>9F963A3C70BC4180AC158B2FA80E12C5_13</vt:lpwstr>
  </property>
</Properties>
</file>