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ind w:firstLine="198" w:firstLineChars="45"/>
        <w:jc w:val="center"/>
        <w:rPr>
          <w:rFonts w:ascii="方正小标宋简体" w:hAnsi="Calibri" w:eastAsia="方正小标宋简体" w:cstheme="minorBidi"/>
          <w:sz w:val="44"/>
          <w:szCs w:val="44"/>
        </w:rPr>
      </w:pPr>
      <w:bookmarkStart w:id="1" w:name="_GoBack"/>
      <w:bookmarkEnd w:id="1"/>
      <w:r>
        <w:rPr>
          <w:rFonts w:hint="eastAsia" w:ascii="方正小标宋简体" w:hAnsi="Calibri" w:eastAsia="方正小标宋简体" w:cstheme="minorBidi"/>
          <w:sz w:val="44"/>
          <w:szCs w:val="44"/>
        </w:rPr>
        <w:t>ICT产教融合创新大赛方案</w:t>
      </w:r>
    </w:p>
    <w:p>
      <w:pPr>
        <w:snapToGrid/>
        <w:spacing w:line="560" w:lineRule="exact"/>
        <w:ind w:firstLine="640"/>
        <w:rPr>
          <w:rFonts w:ascii="黑体" w:hAnsi="黑体" w:eastAsia="黑体"/>
          <w:sz w:val="32"/>
          <w:szCs w:val="32"/>
        </w:rPr>
      </w:pPr>
      <w:r>
        <w:rPr>
          <w:rFonts w:hint="eastAsia" w:ascii="黑体" w:hAnsi="黑体" w:eastAsia="黑体"/>
          <w:sz w:val="32"/>
          <w:szCs w:val="32"/>
        </w:rPr>
        <w:t>一、大赛定位</w:t>
      </w:r>
    </w:p>
    <w:p>
      <w:pPr>
        <w:snapToGrid/>
        <w:spacing w:line="560" w:lineRule="exact"/>
        <w:ind w:firstLine="646" w:firstLineChars="0"/>
        <w:rPr>
          <w:rFonts w:ascii="仿宋_GB2312" w:eastAsia="仿宋_GB2312"/>
          <w:sz w:val="32"/>
          <w:szCs w:val="32"/>
        </w:rPr>
      </w:pPr>
      <w:r>
        <w:rPr>
          <w:rFonts w:hint="eastAsia" w:ascii="仿宋_GB2312" w:eastAsia="仿宋_GB2312"/>
          <w:sz w:val="32"/>
          <w:szCs w:val="32"/>
        </w:rPr>
        <w:t>为深入贯彻党的二十大精神，坚持教育、科技、人才“三位一体”统筹安排、一体部署的要求，充分发挥高校与产业界结合紧密的优势，树立“</w:t>
      </w:r>
      <w:r>
        <w:rPr>
          <w:rFonts w:hint="eastAsia" w:ascii="仿宋_GB2312" w:hAnsi="Arial" w:eastAsia="仿宋_GB2312" w:cs="Arial"/>
          <w:color w:val="222222"/>
          <w:sz w:val="32"/>
          <w:szCs w:val="32"/>
          <w:shd w:val="clear" w:color="auto" w:fill="FFFFFF"/>
        </w:rPr>
        <w:t>以国家重大需求为导向、以竞争协同机制为手段、以解决实际问题为目标、以科教融汇同和产教融合育人为己任”的办赛宗旨，</w:t>
      </w:r>
      <w:r>
        <w:rPr>
          <w:rFonts w:hint="eastAsia" w:ascii="仿宋_GB2312" w:eastAsia="仿宋_GB2312"/>
          <w:sz w:val="32"/>
          <w:szCs w:val="32"/>
        </w:rPr>
        <w:t>强化学生创新实践能力，推动学科链、产业链、创新链、人才链有机衔接，支撑学校拔尖创新人才培养和科技创新，服务国家和区域经济社会发展，探索产教融合、科教融汇发展新模式。</w:t>
      </w:r>
    </w:p>
    <w:p>
      <w:pPr>
        <w:snapToGrid/>
        <w:spacing w:line="560" w:lineRule="exact"/>
        <w:ind w:firstLine="640"/>
        <w:rPr>
          <w:rFonts w:ascii="黑体" w:hAnsi="黑体" w:eastAsia="黑体"/>
          <w:sz w:val="32"/>
          <w:szCs w:val="32"/>
        </w:rPr>
      </w:pPr>
      <w:r>
        <w:rPr>
          <w:rFonts w:hint="eastAsia" w:ascii="黑体" w:hAnsi="黑体" w:eastAsia="黑体"/>
          <w:sz w:val="32"/>
          <w:szCs w:val="32"/>
        </w:rPr>
        <w:t>二、赛事目标</w:t>
      </w:r>
    </w:p>
    <w:p>
      <w:pPr>
        <w:snapToGrid/>
        <w:ind w:firstLine="646" w:firstLineChars="0"/>
        <w:rPr>
          <w:rFonts w:ascii="仿宋_GB2312" w:eastAsia="仿宋_GB2312"/>
          <w:sz w:val="32"/>
          <w:szCs w:val="32"/>
        </w:rPr>
      </w:pPr>
      <w:r>
        <w:rPr>
          <w:rFonts w:hint="eastAsia" w:ascii="仿宋_GB2312" w:eastAsia="仿宋_GB2312"/>
          <w:sz w:val="32"/>
          <w:szCs w:val="32"/>
        </w:rPr>
        <w:t>初步在四邮四电高校范围内以企业命题“揭榜挂帅”形式举办产教融合创新大赛，在此基础上逐步扩大赛事范围及影响力争取进入全国普通高校大学生竞赛排行榜。</w:t>
      </w:r>
    </w:p>
    <w:p>
      <w:pPr>
        <w:snapToGrid/>
        <w:spacing w:line="540" w:lineRule="exact"/>
        <w:ind w:firstLine="640"/>
        <w:rPr>
          <w:rFonts w:ascii="仿宋_GB2312" w:eastAsia="仿宋_GB2312"/>
          <w:sz w:val="32"/>
          <w:szCs w:val="32"/>
        </w:rPr>
      </w:pPr>
      <w:r>
        <w:rPr>
          <w:rFonts w:hint="eastAsia" w:ascii="仿宋_GB2312" w:eastAsia="仿宋_GB2312"/>
          <w:sz w:val="32"/>
          <w:szCs w:val="32"/>
        </w:rPr>
        <w:t>（一）发挥开放创新效用，面向ICT领域，打通高校智力资源和企业发展需求，协同解决企业发展中所面临的技术、管理等现实问题，服务经济高质量发展。</w:t>
      </w:r>
    </w:p>
    <w:p>
      <w:pPr>
        <w:snapToGrid/>
        <w:spacing w:line="540" w:lineRule="exact"/>
        <w:ind w:firstLine="640"/>
        <w:rPr>
          <w:rFonts w:ascii="仿宋_GB2312" w:eastAsia="仿宋_GB2312"/>
          <w:sz w:val="32"/>
          <w:szCs w:val="32"/>
        </w:rPr>
      </w:pPr>
      <w:r>
        <w:rPr>
          <w:rFonts w:hint="eastAsia" w:ascii="仿宋_GB2312" w:eastAsia="仿宋_GB2312"/>
          <w:sz w:val="32"/>
          <w:szCs w:val="32"/>
        </w:rPr>
        <w:t>（二）引导高校将创新创业教育实践与产业发展有机结合，让学生在真实工程环境中“真题真做”，培养学生解决产业发展问题的能力。</w:t>
      </w:r>
    </w:p>
    <w:p>
      <w:pPr>
        <w:snapToGrid/>
        <w:spacing w:line="540" w:lineRule="exact"/>
        <w:ind w:firstLine="640"/>
        <w:rPr>
          <w:rFonts w:ascii="仿宋_GB2312" w:eastAsia="仿宋_GB2312"/>
          <w:sz w:val="32"/>
          <w:szCs w:val="32"/>
        </w:rPr>
      </w:pPr>
      <w:r>
        <w:rPr>
          <w:rFonts w:hint="eastAsia" w:ascii="仿宋_GB2312" w:eastAsia="仿宋_GB2312"/>
          <w:sz w:val="32"/>
          <w:szCs w:val="32"/>
        </w:rPr>
        <w:t>（三）立足产业发展，深化新工科改革，校企协同培育产业新领域、新市场，助力学校拔尖创新人才培养。</w:t>
      </w:r>
    </w:p>
    <w:p>
      <w:pPr>
        <w:snapToGrid/>
        <w:spacing w:line="560" w:lineRule="exact"/>
        <w:ind w:firstLine="640"/>
        <w:rPr>
          <w:rFonts w:ascii="黑体" w:hAnsi="黑体" w:eastAsia="黑体"/>
          <w:sz w:val="32"/>
          <w:szCs w:val="32"/>
        </w:rPr>
      </w:pPr>
      <w:r>
        <w:rPr>
          <w:rFonts w:hint="eastAsia" w:ascii="黑体" w:hAnsi="黑体" w:eastAsia="黑体"/>
          <w:sz w:val="32"/>
          <w:szCs w:val="32"/>
        </w:rPr>
        <w:t>三、组织机构</w:t>
      </w:r>
    </w:p>
    <w:p>
      <w:pPr>
        <w:snapToGrid/>
        <w:spacing w:line="540" w:lineRule="exact"/>
        <w:ind w:firstLine="640"/>
        <w:rPr>
          <w:rFonts w:ascii="仿宋_GB2312" w:eastAsia="仿宋_GB2312"/>
          <w:sz w:val="32"/>
          <w:szCs w:val="32"/>
        </w:rPr>
      </w:pPr>
      <w:r>
        <w:rPr>
          <w:rFonts w:hint="eastAsia" w:ascii="仿宋_GB2312" w:eastAsia="仿宋_GB2312"/>
          <w:sz w:val="32"/>
          <w:szCs w:val="32"/>
        </w:rPr>
        <w:t>（一）大赛由北京邮电大学、电子科技大学、南京邮电大学、西安电子科技大学、重庆邮电大学、杭州电子科技大学、西安邮电大学、桂林电子科技大学共同主办，具体承办采用轮换制，每年由其中一所高校具体承办。</w:t>
      </w:r>
    </w:p>
    <w:p>
      <w:pPr>
        <w:snapToGrid/>
        <w:spacing w:line="540" w:lineRule="exact"/>
        <w:ind w:firstLine="640"/>
        <w:rPr>
          <w:rFonts w:ascii="仿宋_GB2312" w:eastAsia="仿宋_GB2312"/>
          <w:sz w:val="32"/>
          <w:szCs w:val="32"/>
        </w:rPr>
      </w:pPr>
      <w:r>
        <w:rPr>
          <w:rFonts w:hint="eastAsia" w:ascii="仿宋_GB2312" w:eastAsia="仿宋_GB2312"/>
          <w:sz w:val="32"/>
          <w:szCs w:val="32"/>
        </w:rPr>
        <w:t>（二）大赛设立指导委员会，由教育部相关领导担任主任，八所主办高校书记、校长担任副主任，主办高校主管副校长、副书记和命题企业主要领导担任委员。</w:t>
      </w:r>
    </w:p>
    <w:p>
      <w:pPr>
        <w:snapToGrid/>
        <w:spacing w:line="540" w:lineRule="exact"/>
        <w:ind w:firstLine="640"/>
        <w:rPr>
          <w:rFonts w:ascii="仿宋_GB2312" w:eastAsia="仿宋_GB2312"/>
          <w:sz w:val="32"/>
          <w:szCs w:val="32"/>
        </w:rPr>
      </w:pPr>
      <w:r>
        <w:rPr>
          <w:rFonts w:hint="eastAsia" w:ascii="仿宋_GB2312" w:eastAsia="仿宋_GB2312"/>
          <w:sz w:val="32"/>
          <w:szCs w:val="32"/>
        </w:rPr>
        <w:t>（三）大赛设立组织委员会（简称大赛组委会），组委会主任和副主任实行“轮值制”，由当年承办高校主管校领导担任主任，当年承办高校教务处处长担任副主任。委员由主办高校教务处主管副处长担任。</w:t>
      </w:r>
    </w:p>
    <w:p>
      <w:pPr>
        <w:snapToGrid/>
        <w:spacing w:line="540" w:lineRule="exact"/>
        <w:ind w:firstLine="640"/>
        <w:rPr>
          <w:rFonts w:ascii="仿宋_GB2312" w:eastAsia="仿宋_GB2312"/>
          <w:sz w:val="32"/>
          <w:szCs w:val="32"/>
        </w:rPr>
      </w:pPr>
      <w:r>
        <w:rPr>
          <w:rFonts w:hint="eastAsia" w:ascii="仿宋_GB2312" w:eastAsia="仿宋_GB2312"/>
          <w:sz w:val="32"/>
          <w:szCs w:val="32"/>
        </w:rPr>
        <w:t>（四）大赛设立秘书处，由当年承办高校负责秘书处组建及赛事组织工作。</w:t>
      </w:r>
    </w:p>
    <w:p>
      <w:pPr>
        <w:snapToGrid/>
        <w:spacing w:line="540" w:lineRule="exact"/>
        <w:ind w:firstLine="640"/>
        <w:rPr>
          <w:rFonts w:ascii="仿宋_GB2312" w:eastAsia="仿宋_GB2312"/>
          <w:sz w:val="32"/>
          <w:szCs w:val="32"/>
        </w:rPr>
      </w:pPr>
      <w:r>
        <w:rPr>
          <w:rFonts w:hint="eastAsia" w:ascii="仿宋_GB2312" w:eastAsia="仿宋_GB2312"/>
          <w:sz w:val="32"/>
          <w:szCs w:val="32"/>
        </w:rPr>
        <w:t>（五）大赛设立</w:t>
      </w:r>
      <w:r>
        <w:rPr>
          <w:rFonts w:hint="eastAsia" w:ascii="仿宋_GB2312" w:eastAsia="仿宋_GB2312"/>
          <w:sz w:val="32"/>
          <w:szCs w:val="32"/>
          <w:lang w:eastAsia="zh-CN"/>
        </w:rPr>
        <w:t>责任</w:t>
      </w:r>
      <w:r>
        <w:rPr>
          <w:rFonts w:hint="eastAsia" w:ascii="仿宋_GB2312" w:eastAsia="仿宋_GB2312"/>
          <w:sz w:val="32"/>
          <w:szCs w:val="32"/>
        </w:rPr>
        <w:t>专家委员会，负责</w:t>
      </w:r>
      <w:r>
        <w:rPr>
          <w:rFonts w:hint="eastAsia" w:ascii="仿宋_GB2312" w:eastAsia="仿宋_GB2312"/>
          <w:sz w:val="32"/>
          <w:szCs w:val="32"/>
          <w:lang w:eastAsia="zh-CN"/>
        </w:rPr>
        <w:t>赛道方向规划建设、</w:t>
      </w:r>
      <w:r>
        <w:rPr>
          <w:rFonts w:hint="eastAsia" w:ascii="仿宋_GB2312" w:eastAsia="仿宋_GB2312"/>
          <w:sz w:val="32"/>
          <w:szCs w:val="32"/>
        </w:rPr>
        <w:t>命题遴选、项目评审等工作。</w:t>
      </w:r>
    </w:p>
    <w:p>
      <w:pPr>
        <w:snapToGrid/>
        <w:spacing w:line="540" w:lineRule="exact"/>
        <w:ind w:firstLine="640"/>
        <w:rPr>
          <w:rFonts w:ascii="仿宋_GB2312" w:eastAsia="仿宋_GB2312"/>
          <w:sz w:val="32"/>
          <w:szCs w:val="32"/>
        </w:rPr>
      </w:pPr>
      <w:r>
        <w:rPr>
          <w:rFonts w:hint="eastAsia" w:ascii="仿宋_GB2312" w:eastAsia="仿宋_GB2312"/>
          <w:sz w:val="32"/>
          <w:szCs w:val="32"/>
        </w:rPr>
        <w:t>（六）大赛鼓励承办单位积极争取企业单位对赛事的赞助支持，可以对大赛进行冠名。</w:t>
      </w:r>
    </w:p>
    <w:p>
      <w:pPr>
        <w:snapToGrid/>
        <w:spacing w:line="540" w:lineRule="exact"/>
        <w:ind w:firstLine="640"/>
        <w:rPr>
          <w:rFonts w:ascii="仿宋_GB2312" w:eastAsia="仿宋_GB2312"/>
          <w:sz w:val="32"/>
          <w:szCs w:val="32"/>
        </w:rPr>
      </w:pPr>
      <w:r>
        <w:rPr>
          <w:rFonts w:hint="eastAsia" w:ascii="仿宋_GB2312" w:eastAsia="仿宋_GB2312"/>
          <w:sz w:val="32"/>
          <w:szCs w:val="32"/>
        </w:rPr>
        <w:t>（七）各参与高校可成立相应的赛事机构，负责本校初赛的组织实施、项目评审和推荐等工作。</w:t>
      </w:r>
    </w:p>
    <w:p>
      <w:pPr>
        <w:snapToGrid/>
        <w:spacing w:line="560" w:lineRule="exact"/>
        <w:ind w:firstLine="640"/>
        <w:rPr>
          <w:rFonts w:ascii="黑体" w:hAnsi="黑体" w:eastAsia="黑体"/>
          <w:sz w:val="32"/>
          <w:szCs w:val="32"/>
        </w:rPr>
      </w:pPr>
      <w:r>
        <w:rPr>
          <w:rFonts w:hint="eastAsia" w:ascii="黑体" w:hAnsi="黑体" w:eastAsia="黑体"/>
          <w:sz w:val="32"/>
          <w:szCs w:val="32"/>
        </w:rPr>
        <w:t>四、比赛赛制</w:t>
      </w:r>
    </w:p>
    <w:p>
      <w:pPr>
        <w:snapToGrid/>
        <w:spacing w:line="560" w:lineRule="exact"/>
        <w:ind w:firstLine="646" w:firstLineChars="0"/>
        <w:rPr>
          <w:rFonts w:ascii="仿宋_GB2312" w:eastAsia="仿宋_GB2312"/>
          <w:sz w:val="32"/>
          <w:szCs w:val="32"/>
        </w:rPr>
      </w:pPr>
      <w:bookmarkStart w:id="0" w:name="_Hlk150956606"/>
      <w:r>
        <w:rPr>
          <w:rFonts w:hint="eastAsia" w:ascii="仿宋_GB2312" w:hAnsi="Arial" w:eastAsia="仿宋_GB2312" w:cs="Arial"/>
          <w:color w:val="222222"/>
          <w:sz w:val="32"/>
          <w:szCs w:val="32"/>
          <w:shd w:val="clear" w:color="auto" w:fill="FFFFFF"/>
        </w:rPr>
        <w:t>（一）大赛采用“企业命题，学生团队打擂揭榜”的形式，分为初赛和决赛。</w:t>
      </w:r>
      <w:r>
        <w:rPr>
          <w:rFonts w:hint="eastAsia" w:ascii="仿宋_GB2312" w:eastAsia="仿宋_GB2312"/>
          <w:sz w:val="32"/>
          <w:szCs w:val="32"/>
        </w:rPr>
        <w:t>初赛由各主办高校组织，按照大赛组委会要求择优遴选推荐项目。决赛由大赛秘书处统一组织。</w:t>
      </w:r>
    </w:p>
    <w:p>
      <w:pPr>
        <w:snapToGrid/>
        <w:spacing w:line="560" w:lineRule="exact"/>
        <w:ind w:firstLine="646" w:firstLineChars="0"/>
        <w:rPr>
          <w:rFonts w:ascii="仿宋_GB2312" w:eastAsia="仿宋_GB2312"/>
          <w:sz w:val="32"/>
          <w:szCs w:val="32"/>
        </w:rPr>
      </w:pPr>
      <w:r>
        <w:rPr>
          <w:rFonts w:hint="eastAsia" w:ascii="仿宋_GB2312" w:eastAsia="仿宋_GB2312"/>
          <w:sz w:val="32"/>
          <w:szCs w:val="32"/>
        </w:rPr>
        <w:t>（二）大赛分本科生组和研究生组，各组分行评比，单独设置奖项。</w:t>
      </w:r>
    </w:p>
    <w:p>
      <w:pPr>
        <w:snapToGrid/>
        <w:spacing w:line="560" w:lineRule="exact"/>
        <w:ind w:firstLine="646" w:firstLineChars="0"/>
        <w:rPr>
          <w:rFonts w:ascii="仿宋_GB2312" w:eastAsia="仿宋_GB2312"/>
          <w:sz w:val="32"/>
          <w:szCs w:val="32"/>
        </w:rPr>
      </w:pPr>
    </w:p>
    <w:bookmarkEnd w:id="0"/>
    <w:p>
      <w:pPr>
        <w:snapToGrid/>
        <w:spacing w:line="560" w:lineRule="exact"/>
        <w:ind w:firstLine="640"/>
        <w:rPr>
          <w:rFonts w:ascii="黑体" w:hAnsi="黑体" w:eastAsia="黑体"/>
          <w:sz w:val="32"/>
          <w:szCs w:val="32"/>
        </w:rPr>
      </w:pPr>
      <w:r>
        <w:rPr>
          <w:rFonts w:hint="eastAsia" w:ascii="黑体" w:hAnsi="黑体" w:eastAsia="黑体"/>
          <w:sz w:val="32"/>
          <w:szCs w:val="32"/>
        </w:rPr>
        <w:t>五、命题征集</w:t>
      </w:r>
    </w:p>
    <w:p>
      <w:pPr>
        <w:snapToGrid/>
        <w:spacing w:line="560" w:lineRule="exact"/>
        <w:ind w:firstLine="640"/>
        <w:rPr>
          <w:rFonts w:ascii="仿宋_GB2312" w:eastAsia="仿宋_GB2312"/>
          <w:sz w:val="32"/>
          <w:szCs w:val="32"/>
        </w:rPr>
      </w:pPr>
      <w:r>
        <w:rPr>
          <w:rFonts w:hint="eastAsia" w:ascii="仿宋_GB2312" w:hAnsi="Arial" w:eastAsia="仿宋_GB2312" w:cs="Arial"/>
          <w:color w:val="222222"/>
          <w:sz w:val="32"/>
          <w:szCs w:val="32"/>
          <w:shd w:val="clear" w:color="auto" w:fill="FFFFFF"/>
        </w:rPr>
        <w:t>（一）大赛</w:t>
      </w:r>
      <w:r>
        <w:rPr>
          <w:rFonts w:hint="eastAsia" w:ascii="仿宋_GB2312" w:eastAsia="仿宋_GB2312"/>
          <w:sz w:val="32"/>
          <w:szCs w:val="32"/>
        </w:rPr>
        <w:t>针对企业的开放创新需求，面向科技创新头部企业、行业代表性企业等征集命题。</w:t>
      </w:r>
    </w:p>
    <w:p>
      <w:pPr>
        <w:snapToGrid/>
        <w:spacing w:line="560" w:lineRule="exact"/>
        <w:ind w:firstLine="640"/>
        <w:rPr>
          <w:rFonts w:ascii="仿宋_GB2312" w:eastAsia="仿宋_GB2312"/>
          <w:sz w:val="32"/>
          <w:szCs w:val="32"/>
        </w:rPr>
      </w:pPr>
      <w:r>
        <w:rPr>
          <w:rFonts w:hint="eastAsia" w:ascii="仿宋_GB2312" w:eastAsia="仿宋_GB2312"/>
          <w:sz w:val="32"/>
          <w:szCs w:val="32"/>
        </w:rPr>
        <w:t>（二）命题聚焦国家战略新兴产业和数字经济新型产业，设置新一代电子与通信技术、新一代计算机及网络技术、人工智能与大模型、未来机器人、集成电路芯片等方向。</w:t>
      </w:r>
    </w:p>
    <w:p>
      <w:pPr>
        <w:snapToGrid/>
        <w:ind w:firstLine="640"/>
        <w:rPr>
          <w:rFonts w:ascii="仿宋_GB2312" w:eastAsia="仿宋_GB2312"/>
          <w:sz w:val="32"/>
          <w:szCs w:val="32"/>
        </w:rPr>
      </w:pPr>
      <w:r>
        <w:rPr>
          <w:rFonts w:hint="eastAsia" w:ascii="仿宋_GB2312" w:eastAsia="仿宋_GB2312"/>
          <w:sz w:val="32"/>
          <w:szCs w:val="32"/>
        </w:rPr>
        <w:t>（三）本科生组命题侧重面向场景下的创新设计与应用开发；研究生组命题侧重解决企业实际技术生态问题。</w:t>
      </w:r>
    </w:p>
    <w:p>
      <w:pPr>
        <w:snapToGrid/>
        <w:spacing w:line="540" w:lineRule="exact"/>
        <w:ind w:firstLine="640"/>
        <w:rPr>
          <w:rFonts w:ascii="仿宋_GB2312" w:hAnsi="等线" w:eastAsia="仿宋_GB2312"/>
          <w:sz w:val="32"/>
          <w:szCs w:val="32"/>
        </w:rPr>
      </w:pPr>
      <w:r>
        <w:rPr>
          <w:rFonts w:hint="eastAsia" w:ascii="仿宋_GB2312" w:hAnsi="Arial" w:eastAsia="仿宋_GB2312" w:cs="Arial"/>
          <w:color w:val="222222"/>
          <w:sz w:val="32"/>
          <w:szCs w:val="32"/>
          <w:shd w:val="clear" w:color="auto" w:fill="FFFFFF"/>
        </w:rPr>
        <w:t>（四）</w:t>
      </w:r>
      <w:r>
        <w:rPr>
          <w:rFonts w:hint="eastAsia" w:ascii="仿宋_GB2312" w:hAnsi="等线" w:eastAsia="仿宋_GB2312"/>
          <w:sz w:val="32"/>
          <w:szCs w:val="32"/>
        </w:rPr>
        <w:t>命题须健康合法，弘扬正能量，知识产权清晰，无任何不良信息，无侵权违法等行为。</w:t>
      </w:r>
    </w:p>
    <w:p>
      <w:pPr>
        <w:snapToGrid/>
        <w:spacing w:line="560" w:lineRule="exact"/>
        <w:ind w:firstLine="640"/>
        <w:rPr>
          <w:rFonts w:ascii="黑体" w:hAnsi="黑体" w:eastAsia="黑体"/>
          <w:sz w:val="32"/>
          <w:szCs w:val="32"/>
        </w:rPr>
      </w:pPr>
      <w:r>
        <w:rPr>
          <w:rFonts w:hint="eastAsia" w:ascii="黑体" w:hAnsi="黑体" w:eastAsia="黑体"/>
          <w:sz w:val="32"/>
          <w:szCs w:val="32"/>
        </w:rPr>
        <w:t>六、参赛要求</w:t>
      </w:r>
    </w:p>
    <w:p>
      <w:pPr>
        <w:snapToGrid/>
        <w:spacing w:line="560" w:lineRule="exact"/>
        <w:ind w:firstLine="646" w:firstLineChars="0"/>
        <w:rPr>
          <w:rFonts w:ascii="仿宋_GB2312" w:eastAsia="仿宋_GB2312"/>
          <w:sz w:val="32"/>
          <w:szCs w:val="32"/>
        </w:rPr>
      </w:pPr>
      <w:r>
        <w:rPr>
          <w:rFonts w:hint="eastAsia" w:ascii="仿宋_GB2312" w:hAnsi="Arial" w:eastAsia="仿宋_GB2312" w:cs="Arial"/>
          <w:color w:val="222222"/>
          <w:sz w:val="32"/>
          <w:szCs w:val="32"/>
          <w:shd w:val="clear" w:color="auto" w:fill="FFFFFF"/>
        </w:rPr>
        <w:t>（一）大赛组委会面向参与高校发布命题，</w:t>
      </w:r>
      <w:r>
        <w:rPr>
          <w:rFonts w:hint="eastAsia" w:ascii="仿宋_GB2312" w:eastAsia="仿宋_GB2312"/>
          <w:sz w:val="32"/>
          <w:szCs w:val="32"/>
        </w:rPr>
        <w:t>每支参赛团队只能选择一题参加比赛，鼓励四邮四电高校学生跨校组建参赛团队，每个团队的成员不少于3人，不多于15人（含团队负责人），须为揭榜答题的实际核心成员。</w:t>
      </w:r>
    </w:p>
    <w:p>
      <w:pPr>
        <w:snapToGrid/>
        <w:spacing w:line="560" w:lineRule="exact"/>
        <w:ind w:firstLine="646" w:firstLineChars="0"/>
        <w:rPr>
          <w:rFonts w:ascii="仿宋_GB2312" w:eastAsia="仿宋_GB2312"/>
          <w:sz w:val="32"/>
          <w:szCs w:val="32"/>
        </w:rPr>
      </w:pPr>
      <w:r>
        <w:rPr>
          <w:rFonts w:hint="eastAsia" w:ascii="仿宋_GB2312" w:eastAsia="仿宋_GB2312"/>
          <w:sz w:val="32"/>
          <w:szCs w:val="32"/>
        </w:rPr>
        <w:t>（二）参加“本科生组”要求项目负责人及成员均须为普通高等学校全日制在校本科生。</w:t>
      </w:r>
    </w:p>
    <w:p>
      <w:pPr>
        <w:snapToGrid/>
        <w:spacing w:line="560" w:lineRule="exact"/>
        <w:ind w:firstLine="646" w:firstLineChars="0"/>
        <w:rPr>
          <w:rFonts w:ascii="仿宋_GB2312" w:eastAsia="仿宋_GB2312"/>
          <w:sz w:val="32"/>
          <w:szCs w:val="32"/>
        </w:rPr>
      </w:pPr>
      <w:r>
        <w:rPr>
          <w:rFonts w:hint="eastAsia" w:ascii="仿宋_GB2312" w:eastAsia="仿宋_GB2312"/>
          <w:sz w:val="32"/>
          <w:szCs w:val="32"/>
        </w:rPr>
        <w:t>（三）参加“研究生组”要求项目负责人须为普通高等学校全日制在校研究生，项目成员须为普通高等学校全日制在校研究生或本科生。</w:t>
      </w:r>
    </w:p>
    <w:p>
      <w:pPr>
        <w:snapToGrid/>
        <w:spacing w:line="540" w:lineRule="exact"/>
        <w:ind w:firstLine="640"/>
        <w:rPr>
          <w:rFonts w:ascii="仿宋_GB2312" w:hAnsi="等线" w:eastAsia="仿宋_GB2312"/>
          <w:sz w:val="32"/>
          <w:szCs w:val="32"/>
        </w:rPr>
      </w:pPr>
      <w:r>
        <w:rPr>
          <w:rFonts w:hint="eastAsia" w:ascii="仿宋_GB2312" w:hAnsi="等线" w:eastAsia="仿宋_GB2312"/>
          <w:sz w:val="32"/>
          <w:szCs w:val="32"/>
        </w:rPr>
        <w:t>（四）参赛团队所提交的命题对策须符合所答企业命题要求。参赛团队须对提交的应答材料拥有自主知识产权，不得侵犯他人知识产权或物权。</w:t>
      </w:r>
    </w:p>
    <w:p>
      <w:pPr>
        <w:snapToGrid/>
        <w:spacing w:line="540" w:lineRule="exact"/>
        <w:ind w:firstLine="640"/>
        <w:rPr>
          <w:rFonts w:ascii="仿宋_GB2312" w:hAnsi="等线" w:eastAsia="仿宋_GB2312"/>
          <w:sz w:val="32"/>
          <w:szCs w:val="32"/>
        </w:rPr>
      </w:pPr>
    </w:p>
    <w:p>
      <w:pPr>
        <w:snapToGrid/>
        <w:spacing w:line="560" w:lineRule="exact"/>
        <w:ind w:firstLine="640"/>
        <w:rPr>
          <w:rFonts w:ascii="黑体" w:hAnsi="黑体" w:eastAsia="黑体"/>
          <w:sz w:val="32"/>
          <w:szCs w:val="32"/>
        </w:rPr>
      </w:pPr>
      <w:r>
        <w:rPr>
          <w:rFonts w:hint="eastAsia" w:ascii="黑体" w:hAnsi="黑体" w:eastAsia="黑体"/>
          <w:sz w:val="32"/>
          <w:szCs w:val="32"/>
        </w:rPr>
        <w:t>七、赛程安排</w:t>
      </w:r>
    </w:p>
    <w:p>
      <w:pPr>
        <w:snapToGrid/>
        <w:spacing w:line="540" w:lineRule="exact"/>
        <w:ind w:firstLine="640"/>
        <w:rPr>
          <w:rFonts w:ascii="仿宋_GB2312" w:eastAsia="仿宋_GB2312"/>
          <w:sz w:val="32"/>
          <w:szCs w:val="32"/>
        </w:rPr>
      </w:pPr>
      <w:r>
        <w:rPr>
          <w:rFonts w:hint="eastAsia" w:ascii="仿宋_GB2312" w:eastAsia="仿宋_GB2312"/>
          <w:sz w:val="32"/>
          <w:szCs w:val="32"/>
        </w:rPr>
        <w:t>（一）命题征集。大赛组委会于比赛当年1月份发布命题征集通知，命题企业于3月中旬前完成命题申报。</w:t>
      </w:r>
    </w:p>
    <w:p>
      <w:pPr>
        <w:snapToGrid/>
        <w:spacing w:line="540" w:lineRule="exact"/>
        <w:ind w:firstLine="640"/>
        <w:rPr>
          <w:rFonts w:ascii="仿宋_GB2312" w:eastAsia="仿宋_GB2312"/>
          <w:sz w:val="32"/>
          <w:szCs w:val="32"/>
        </w:rPr>
      </w:pPr>
      <w:r>
        <w:rPr>
          <w:rFonts w:hint="eastAsia" w:ascii="仿宋_GB2312" w:eastAsia="仿宋_GB2312"/>
          <w:sz w:val="32"/>
          <w:szCs w:val="32"/>
        </w:rPr>
        <w:t>（二）命题发布。</w:t>
      </w:r>
      <w:r>
        <w:rPr>
          <w:rFonts w:ascii="仿宋_GB2312" w:eastAsia="仿宋_GB2312"/>
          <w:sz w:val="32"/>
          <w:szCs w:val="32"/>
        </w:rPr>
        <w:t>大赛组委会</w:t>
      </w:r>
      <w:r>
        <w:rPr>
          <w:rFonts w:hint="eastAsia" w:ascii="仿宋_GB2312" w:eastAsia="仿宋_GB2312"/>
          <w:sz w:val="32"/>
          <w:szCs w:val="32"/>
        </w:rPr>
        <w:t>组织专家，</w:t>
      </w:r>
      <w:r>
        <w:rPr>
          <w:rFonts w:ascii="仿宋_GB2312" w:eastAsia="仿宋_GB2312"/>
          <w:sz w:val="32"/>
          <w:szCs w:val="32"/>
        </w:rPr>
        <w:t>对</w:t>
      </w:r>
      <w:r>
        <w:rPr>
          <w:rFonts w:hint="eastAsia" w:ascii="仿宋_GB2312" w:eastAsia="仿宋_GB2312"/>
          <w:sz w:val="32"/>
          <w:szCs w:val="32"/>
        </w:rPr>
        <w:t>企业申报的</w:t>
      </w:r>
      <w:r>
        <w:rPr>
          <w:rFonts w:ascii="仿宋_GB2312" w:eastAsia="仿宋_GB2312"/>
          <w:sz w:val="32"/>
          <w:szCs w:val="32"/>
        </w:rPr>
        <w:t>产业命题进行评审遴选</w:t>
      </w:r>
      <w:r>
        <w:rPr>
          <w:rFonts w:hint="eastAsia" w:ascii="仿宋_GB2312" w:eastAsia="仿宋_GB2312"/>
          <w:sz w:val="32"/>
          <w:szCs w:val="32"/>
        </w:rPr>
        <w:t>。入选命题于3月下旬公开发布。</w:t>
      </w:r>
    </w:p>
    <w:p>
      <w:pPr>
        <w:snapToGrid/>
        <w:spacing w:line="540" w:lineRule="exact"/>
        <w:ind w:firstLine="640"/>
        <w:rPr>
          <w:rFonts w:ascii="仿宋_GB2312" w:eastAsia="仿宋_GB2312"/>
          <w:sz w:val="32"/>
          <w:szCs w:val="32"/>
        </w:rPr>
      </w:pPr>
      <w:r>
        <w:rPr>
          <w:rFonts w:hint="eastAsia" w:ascii="仿宋_GB2312" w:eastAsia="仿宋_GB2312"/>
          <w:sz w:val="32"/>
          <w:szCs w:val="32"/>
        </w:rPr>
        <w:t>（三）参赛报名。各参与高校负责审核参赛队团队资格。参赛团队报名截止时间为4月下旬。</w:t>
      </w:r>
    </w:p>
    <w:p>
      <w:pPr>
        <w:snapToGrid/>
        <w:spacing w:line="540" w:lineRule="exact"/>
        <w:ind w:firstLine="640"/>
        <w:rPr>
          <w:rFonts w:ascii="仿宋_GB2312" w:eastAsia="仿宋_GB2312"/>
          <w:sz w:val="32"/>
          <w:szCs w:val="32"/>
        </w:rPr>
      </w:pPr>
      <w:r>
        <w:rPr>
          <w:rFonts w:hint="eastAsia" w:ascii="仿宋_GB2312" w:eastAsia="仿宋_GB2312"/>
          <w:sz w:val="32"/>
          <w:szCs w:val="32"/>
        </w:rPr>
        <w:t>（四）校级初赛。各主办高校于9月底前完成校级初赛评审，并按照每个命题方向报名总数的前30%推荐总决赛。</w:t>
      </w:r>
    </w:p>
    <w:p>
      <w:pPr>
        <w:snapToGrid/>
        <w:spacing w:line="540" w:lineRule="exact"/>
        <w:ind w:firstLine="640"/>
        <w:rPr>
          <w:rFonts w:ascii="仿宋_GB2312" w:eastAsia="仿宋_GB2312"/>
          <w:sz w:val="32"/>
          <w:szCs w:val="32"/>
        </w:rPr>
      </w:pPr>
      <w:r>
        <w:rPr>
          <w:rFonts w:hint="eastAsia" w:ascii="仿宋_GB2312" w:eastAsia="仿宋_GB2312"/>
          <w:sz w:val="32"/>
          <w:szCs w:val="32"/>
        </w:rPr>
        <w:t>（五）总决赛。大赛组委会于1</w:t>
      </w:r>
      <w:r>
        <w:rPr>
          <w:rFonts w:ascii="仿宋_GB2312" w:eastAsia="仿宋_GB2312"/>
          <w:sz w:val="32"/>
          <w:szCs w:val="32"/>
        </w:rPr>
        <w:t>0</w:t>
      </w:r>
      <w:r>
        <w:rPr>
          <w:rFonts w:hint="eastAsia" w:ascii="仿宋_GB2312" w:eastAsia="仿宋_GB2312"/>
          <w:sz w:val="32"/>
          <w:szCs w:val="32"/>
        </w:rPr>
        <w:t>月组织总决赛，通过对策讲解、实物展示和专家问辩等环节，决出各类奖项。</w:t>
      </w:r>
    </w:p>
    <w:p>
      <w:pPr>
        <w:snapToGrid/>
        <w:spacing w:line="540" w:lineRule="exact"/>
        <w:ind w:firstLine="640"/>
        <w:rPr>
          <w:rFonts w:ascii="仿宋_GB2312" w:eastAsia="仿宋_GB2312"/>
          <w:sz w:val="32"/>
          <w:szCs w:val="32"/>
        </w:rPr>
      </w:pPr>
      <w:r>
        <w:rPr>
          <w:rFonts w:hint="eastAsia" w:ascii="仿宋_GB2312" w:eastAsia="仿宋_GB2312"/>
          <w:sz w:val="32"/>
          <w:szCs w:val="32"/>
        </w:rPr>
        <w:t>（六）</w:t>
      </w:r>
      <w:r>
        <w:rPr>
          <w:rFonts w:ascii="仿宋_GB2312" w:eastAsia="仿宋_GB2312"/>
          <w:sz w:val="32"/>
          <w:szCs w:val="32"/>
        </w:rPr>
        <w:t>颁奖总结</w:t>
      </w:r>
      <w:r>
        <w:rPr>
          <w:rFonts w:hint="eastAsia" w:ascii="仿宋_GB2312" w:eastAsia="仿宋_GB2312"/>
          <w:sz w:val="32"/>
          <w:szCs w:val="32"/>
        </w:rPr>
        <w:t>。大赛组委会于1</w:t>
      </w:r>
      <w:r>
        <w:rPr>
          <w:rFonts w:ascii="仿宋_GB2312" w:eastAsia="仿宋_GB2312"/>
          <w:sz w:val="32"/>
          <w:szCs w:val="32"/>
        </w:rPr>
        <w:t>1</w:t>
      </w:r>
      <w:r>
        <w:rPr>
          <w:rFonts w:hint="eastAsia" w:ascii="仿宋_GB2312" w:eastAsia="仿宋_GB2312"/>
          <w:sz w:val="32"/>
          <w:szCs w:val="32"/>
        </w:rPr>
        <w:t>月组织召开颁奖总结大会。</w:t>
      </w:r>
    </w:p>
    <w:p>
      <w:pPr>
        <w:snapToGrid/>
        <w:spacing w:line="540" w:lineRule="exact"/>
        <w:ind w:firstLine="640"/>
        <w:rPr>
          <w:rFonts w:ascii="仿宋_GB2312" w:eastAsia="仿宋_GB2312"/>
          <w:sz w:val="32"/>
          <w:szCs w:val="32"/>
        </w:rPr>
      </w:pPr>
      <w:r>
        <w:rPr>
          <w:rFonts w:hint="eastAsia" w:ascii="仿宋_GB2312" w:eastAsia="仿宋_GB2312"/>
          <w:sz w:val="32"/>
          <w:szCs w:val="32"/>
        </w:rPr>
        <w:t>大赛拟由四邮四电高校共同建立竞赛门户网站，便于大赛相关信息发布和赛事组织工作开展。</w:t>
      </w:r>
    </w:p>
    <w:p>
      <w:pPr>
        <w:snapToGrid/>
        <w:spacing w:line="560" w:lineRule="exact"/>
        <w:ind w:firstLine="640"/>
        <w:rPr>
          <w:rFonts w:ascii="黑体" w:hAnsi="黑体" w:eastAsia="黑体"/>
          <w:sz w:val="32"/>
          <w:szCs w:val="32"/>
        </w:rPr>
      </w:pPr>
      <w:r>
        <w:rPr>
          <w:rFonts w:hint="eastAsia" w:ascii="黑体" w:hAnsi="黑体" w:eastAsia="黑体"/>
          <w:sz w:val="32"/>
          <w:szCs w:val="32"/>
        </w:rPr>
        <w:t>八、奖励和支持</w:t>
      </w:r>
    </w:p>
    <w:p>
      <w:pPr>
        <w:snapToGrid/>
        <w:ind w:firstLine="640" w:firstLineChars="0"/>
        <w:rPr>
          <w:rFonts w:ascii="仿宋_GB2312" w:eastAsia="仿宋_GB2312"/>
          <w:sz w:val="32"/>
          <w:szCs w:val="32"/>
        </w:rPr>
      </w:pPr>
      <w:r>
        <w:rPr>
          <w:rFonts w:hint="eastAsia" w:ascii="仿宋_GB2312" w:eastAsia="仿宋_GB2312"/>
          <w:sz w:val="32"/>
          <w:szCs w:val="32"/>
        </w:rPr>
        <w:t>（一）奖项设置。各命题方向设置一二三等奖若干，设置优秀指导教师奖，颁发获奖证书及奖金。</w:t>
      </w:r>
    </w:p>
    <w:p>
      <w:pPr>
        <w:snapToGrid/>
        <w:ind w:firstLine="640" w:firstLineChars="0"/>
        <w:rPr>
          <w:rFonts w:ascii="仿宋_GB2312" w:eastAsia="仿宋_GB2312"/>
          <w:sz w:val="32"/>
          <w:szCs w:val="32"/>
        </w:rPr>
      </w:pPr>
      <w:r>
        <w:rPr>
          <w:rFonts w:hint="eastAsia" w:ascii="仿宋_GB2312" w:eastAsia="仿宋_GB2312"/>
          <w:sz w:val="32"/>
          <w:szCs w:val="32"/>
        </w:rPr>
        <w:t>（二）对于优秀项目团队，达到命题企业相关要求的可授予技能认证证书，提供企业实习机会。</w:t>
      </w:r>
    </w:p>
    <w:p>
      <w:pPr>
        <w:snapToGrid/>
        <w:ind w:firstLine="640" w:firstLineChars="0"/>
        <w:rPr>
          <w:rFonts w:ascii="仿宋_GB2312" w:eastAsia="仿宋_GB2312"/>
          <w:sz w:val="32"/>
          <w:szCs w:val="32"/>
        </w:rPr>
      </w:pPr>
      <w:r>
        <w:rPr>
          <w:rFonts w:hint="eastAsia" w:ascii="仿宋_GB2312" w:eastAsia="仿宋_GB2312"/>
          <w:sz w:val="32"/>
          <w:szCs w:val="32"/>
        </w:rPr>
        <w:t>（三）宣传展示。大赛组委会将联合知名媒体，通过多种渠道对优秀项目成果进行报道，并视情举办优秀参赛项目成果展。</w:t>
      </w:r>
    </w:p>
    <w:p>
      <w:pPr>
        <w:snapToGrid/>
        <w:ind w:firstLine="640" w:firstLineChars="0"/>
        <w:rPr>
          <w:rFonts w:ascii="仿宋_GB2312" w:eastAsia="仿宋_GB2312"/>
          <w:sz w:val="32"/>
          <w:szCs w:val="32"/>
        </w:rPr>
      </w:pPr>
      <w:r>
        <w:rPr>
          <w:rFonts w:hint="eastAsia" w:ascii="仿宋_GB2312" w:eastAsia="仿宋_GB2312"/>
          <w:sz w:val="32"/>
          <w:szCs w:val="32"/>
        </w:rPr>
        <w:t>（四）成果转化支持。大赛组委会及参与高校积极推动项目对接落地，为参赛项目提供行业专家辅导、企业融资对接等服务。同时将优质项目对接中国国际“互联网+”大学生创新创业大赛等重要赛事。</w:t>
      </w:r>
    </w:p>
    <w:p>
      <w:pPr>
        <w:snapToGrid/>
        <w:spacing w:line="560" w:lineRule="exact"/>
        <w:ind w:firstLine="640"/>
        <w:rPr>
          <w:rFonts w:ascii="黑体" w:hAnsi="黑体" w:eastAsia="黑体"/>
          <w:sz w:val="32"/>
          <w:szCs w:val="32"/>
        </w:rPr>
      </w:pPr>
      <w:r>
        <w:rPr>
          <w:rFonts w:hint="eastAsia" w:ascii="黑体" w:hAnsi="黑体" w:eastAsia="黑体"/>
          <w:sz w:val="32"/>
          <w:szCs w:val="32"/>
        </w:rPr>
        <w:t>九、其他说明</w:t>
      </w:r>
    </w:p>
    <w:p>
      <w:pPr>
        <w:snapToGrid/>
        <w:spacing w:line="540" w:lineRule="exact"/>
        <w:ind w:firstLine="640"/>
        <w:rPr>
          <w:rFonts w:ascii="仿宋_GB2312" w:eastAsia="仿宋_GB2312"/>
          <w:sz w:val="32"/>
          <w:szCs w:val="32"/>
        </w:rPr>
      </w:pPr>
      <w:r>
        <w:rPr>
          <w:rFonts w:hint="eastAsia" w:ascii="仿宋_GB2312" w:eastAsia="仿宋_GB2312"/>
          <w:sz w:val="32"/>
          <w:szCs w:val="32"/>
        </w:rPr>
        <w:t>（一）大赛组委会不保障所有命题均可揭榜及提交对策满足命题企业要求。本届大赛未获揭榜的命题，企业可申请参加下一届大赛。</w:t>
      </w:r>
    </w:p>
    <w:p>
      <w:pPr>
        <w:snapToGrid/>
        <w:ind w:firstLine="640"/>
        <w:rPr>
          <w:rFonts w:ascii="仿宋_GB2312" w:eastAsia="仿宋_GB2312"/>
          <w:sz w:val="32"/>
          <w:szCs w:val="32"/>
        </w:rPr>
      </w:pPr>
      <w:r>
        <w:rPr>
          <w:rFonts w:hint="eastAsia" w:ascii="仿宋_GB2312" w:eastAsia="仿宋_GB2312"/>
          <w:sz w:val="32"/>
          <w:szCs w:val="32"/>
        </w:rPr>
        <w:t>（二）鼓励企业、高校和团队积极进行项目对接，进一步推动项目落地。</w:t>
      </w:r>
    </w:p>
    <w:sectPr>
      <w:headerReference r:id="rId5" w:type="default"/>
      <w:footerReference r:id="rId6" w:type="default"/>
      <w:pgSz w:w="11906" w:h="16838"/>
      <w:pgMar w:top="1440" w:right="1800" w:bottom="1440" w:left="1800" w:header="851" w:footer="992" w:gutter="0"/>
      <w:cols w:space="425"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5385933" name="文本框 1853859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ind w:firstLine="36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5wCaMNAIAAGUEAAAOAAAAAAAAAAEAIAAAAB8BAABkcnMvZTJvRG9jLnhtbFBL&#10;BQYAAAAABgAGAFkBAADFBQAAAAA=&#10;">
              <v:fill on="f" focussize="0,0"/>
              <v:stroke on="f" weight="0.5pt"/>
              <v:imagedata o:title=""/>
              <o:lock v:ext="edit" aspectratio="f"/>
              <v:textbox inset="0mm,0mm,0mm,0mm" style="mso-fit-shape-to-text:t;">
                <w:txbxContent>
                  <w:p>
                    <w:pPr>
                      <w:pStyle w:val="3"/>
                      <w:ind w:firstLine="36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20"/>
  <w:drawingGridVerticalSpacing w:val="163"/>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E5OGY5NmExN2IwMzNiMzFkNjA5MDcwMDFmNmJiNzcifQ=="/>
  </w:docVars>
  <w:rsids>
    <w:rsidRoot w:val="00CF1B52"/>
    <w:rsid w:val="00037807"/>
    <w:rsid w:val="000653DD"/>
    <w:rsid w:val="001133CB"/>
    <w:rsid w:val="001655D5"/>
    <w:rsid w:val="00191367"/>
    <w:rsid w:val="001D40DD"/>
    <w:rsid w:val="001D7516"/>
    <w:rsid w:val="0024032A"/>
    <w:rsid w:val="00250EBB"/>
    <w:rsid w:val="00346FA4"/>
    <w:rsid w:val="00390B1D"/>
    <w:rsid w:val="003B021F"/>
    <w:rsid w:val="003B5E8C"/>
    <w:rsid w:val="003B62B3"/>
    <w:rsid w:val="003D3411"/>
    <w:rsid w:val="003F1660"/>
    <w:rsid w:val="003F4585"/>
    <w:rsid w:val="0043698D"/>
    <w:rsid w:val="0043699D"/>
    <w:rsid w:val="004839DE"/>
    <w:rsid w:val="004C5A9E"/>
    <w:rsid w:val="005558DC"/>
    <w:rsid w:val="005E6447"/>
    <w:rsid w:val="00665289"/>
    <w:rsid w:val="0067090E"/>
    <w:rsid w:val="006F516F"/>
    <w:rsid w:val="006F65BE"/>
    <w:rsid w:val="007740B0"/>
    <w:rsid w:val="007C75E5"/>
    <w:rsid w:val="007D7E6E"/>
    <w:rsid w:val="008527AE"/>
    <w:rsid w:val="00935DC2"/>
    <w:rsid w:val="00955EBD"/>
    <w:rsid w:val="009D57B2"/>
    <w:rsid w:val="009F1EE4"/>
    <w:rsid w:val="00A32D3F"/>
    <w:rsid w:val="00A42815"/>
    <w:rsid w:val="00AB0391"/>
    <w:rsid w:val="00AE4074"/>
    <w:rsid w:val="00AF3E85"/>
    <w:rsid w:val="00BE4920"/>
    <w:rsid w:val="00CB0B81"/>
    <w:rsid w:val="00CF1B52"/>
    <w:rsid w:val="00E22446"/>
    <w:rsid w:val="00E87C4B"/>
    <w:rsid w:val="00F77B35"/>
    <w:rsid w:val="00F834D8"/>
    <w:rsid w:val="00F970C3"/>
    <w:rsid w:val="00FF5F5B"/>
    <w:rsid w:val="1AA05684"/>
    <w:rsid w:val="2AA45642"/>
    <w:rsid w:val="2EAF2642"/>
    <w:rsid w:val="300311A8"/>
    <w:rsid w:val="30296991"/>
    <w:rsid w:val="347F7D0B"/>
    <w:rsid w:val="43770DBF"/>
    <w:rsid w:val="67E34B23"/>
    <w:rsid w:val="6B5C1512"/>
    <w:rsid w:val="75DE03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napToGrid w:val="0"/>
      <w:spacing w:line="360" w:lineRule="auto"/>
      <w:ind w:firstLine="200" w:firstLineChars="200"/>
      <w:jc w:val="both"/>
    </w:pPr>
    <w:rPr>
      <w:rFonts w:ascii="Times New Roman" w:hAnsi="Times New Roman" w:eastAsia="仿宋" w:cs="Times New Roman"/>
      <w:kern w:val="2"/>
      <w:sz w:val="24"/>
      <w:szCs w:val="24"/>
      <w:lang w:val="en-US" w:eastAsia="zh-CN" w:bidi="ar-SA"/>
    </w:rPr>
  </w:style>
  <w:style w:type="character" w:default="1" w:styleId="8">
    <w:name w:val="Default Paragraph Font"/>
    <w:unhideWhenUsed/>
    <w:uiPriority w:val="1"/>
  </w:style>
  <w:style w:type="table" w:default="1" w:styleId="6">
    <w:name w:val="Normal Table"/>
    <w:unhideWhenUsed/>
    <w:uiPriority w:val="99"/>
    <w:tblPr>
      <w:tblCellMar>
        <w:top w:w="0" w:type="dxa"/>
        <w:left w:w="108" w:type="dxa"/>
        <w:bottom w:w="0" w:type="dxa"/>
        <w:right w:w="108" w:type="dxa"/>
      </w:tblCellMar>
    </w:tblPr>
  </w:style>
  <w:style w:type="paragraph" w:styleId="2">
    <w:name w:val="Body Text"/>
    <w:basedOn w:val="1"/>
    <w:qFormat/>
    <w:uiPriority w:val="1"/>
    <w:pPr>
      <w:autoSpaceDE w:val="0"/>
      <w:autoSpaceDN w:val="0"/>
      <w:ind w:left="171"/>
      <w:jc w:val="left"/>
    </w:pPr>
    <w:rPr>
      <w:rFonts w:ascii="宋体" w:hAnsi="宋体" w:eastAsia="宋体" w:cs="宋体"/>
      <w:kern w:val="0"/>
      <w:szCs w:val="32"/>
    </w:rPr>
  </w:style>
  <w:style w:type="paragraph" w:styleId="3">
    <w:name w:val="footer"/>
    <w:basedOn w:val="1"/>
    <w:link w:val="10"/>
    <w:unhideWhenUsed/>
    <w:qFormat/>
    <w:uiPriority w:val="99"/>
    <w:pPr>
      <w:tabs>
        <w:tab w:val="center" w:pos="4153"/>
        <w:tab w:val="right" w:pos="8306"/>
      </w:tabs>
      <w:spacing w:line="240" w:lineRule="auto"/>
      <w:jc w:val="left"/>
    </w:pPr>
    <w:rPr>
      <w:sz w:val="18"/>
      <w:szCs w:val="18"/>
    </w:rPr>
  </w:style>
  <w:style w:type="paragraph" w:styleId="4">
    <w:name w:val="header"/>
    <w:basedOn w:val="1"/>
    <w:link w:val="9"/>
    <w:unhideWhenUsed/>
    <w:uiPriority w:val="99"/>
    <w:pPr>
      <w:tabs>
        <w:tab w:val="center" w:pos="4153"/>
        <w:tab w:val="right" w:pos="8306"/>
      </w:tabs>
      <w:spacing w:line="240" w:lineRule="auto"/>
      <w:jc w:val="center"/>
    </w:pPr>
    <w:rPr>
      <w:sz w:val="18"/>
      <w:szCs w:val="18"/>
    </w:rPr>
  </w:style>
  <w:style w:type="paragraph" w:styleId="5">
    <w:name w:val="Normal (Web)"/>
    <w:basedOn w:val="1"/>
    <w:qFormat/>
    <w:uiPriority w:val="0"/>
    <w:pPr>
      <w:spacing w:before="100" w:beforeAutospacing="1" w:after="100" w:afterAutospacing="1" w:line="240" w:lineRule="auto"/>
      <w:ind w:firstLine="0" w:firstLineChars="0"/>
      <w:jc w:val="left"/>
    </w:pPr>
    <w:rPr>
      <w:kern w:val="0"/>
    </w:rPr>
  </w:style>
  <w:style w:type="table" w:styleId="7">
    <w:name w:val="Table Grid"/>
    <w:basedOn w:val="6"/>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字符"/>
    <w:basedOn w:val="8"/>
    <w:link w:val="4"/>
    <w:uiPriority w:val="99"/>
    <w:rPr>
      <w:rFonts w:ascii="Times New Roman" w:hAnsi="Times New Roman" w:eastAsia="仿宋" w:cs="Times New Roman"/>
      <w:sz w:val="18"/>
      <w:szCs w:val="18"/>
    </w:rPr>
  </w:style>
  <w:style w:type="character" w:customStyle="1" w:styleId="10">
    <w:name w:val="页脚 字符"/>
    <w:basedOn w:val="8"/>
    <w:link w:val="3"/>
    <w:uiPriority w:val="99"/>
    <w:rPr>
      <w:rFonts w:ascii="Times New Roman" w:hAnsi="Times New Roman" w:eastAsia="仿宋" w:cs="Times New Roman"/>
      <w:sz w:val="18"/>
      <w:szCs w:val="18"/>
    </w:rPr>
  </w:style>
  <w:style w:type="paragraph" w:customStyle="1" w:styleId="11">
    <w:name w:val="List Paragraph"/>
    <w:basedOn w:val="1"/>
    <w:qFormat/>
    <w:uiPriority w:val="34"/>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745</Words>
  <Characters>4250</Characters>
  <Lines>35</Lines>
  <Paragraphs>9</Paragraphs>
  <TotalTime>0</TotalTime>
  <ScaleCrop>false</ScaleCrop>
  <LinksUpToDate>false</LinksUpToDate>
  <CharactersWithSpaces>4986</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2023-11-21T02:11:00Z</dcterms:created>
  <dc:creator>bupt</dc:creator>
  <cp:lastModifiedBy>王菡</cp:lastModifiedBy>
  <cp:lastPrinted>2023-11-21T02:59:00Z</cp:lastPrinted>
  <dcterms:modified xsi:type="dcterms:W3CDTF">2023-12-14T04:01:57Z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92796730077F498F9E3C6EA6840E372A</vt:lpwstr>
  </property>
</Properties>
</file>