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ascii="仿宋" w:hAnsi="仿宋" w:eastAsia="仿宋" w:cs="仿宋"/>
          <w:bCs/>
          <w:szCs w:val="32"/>
          <w:lang w:val="en-US" w:eastAsia="zh-CN"/>
        </w:rPr>
      </w:pPr>
      <w:r>
        <w:rPr>
          <w:rFonts w:ascii="仿宋" w:hAnsi="仿宋" w:eastAsia="仿宋" w:cs="仿宋"/>
          <w:bCs/>
          <w:szCs w:val="32"/>
          <w:lang w:val="en-US" w:eastAsia="zh-CN"/>
        </w:rPr>
        <w:t>更新日志：</w:t>
      </w: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5月6日更新：</w:t>
      </w: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取消考试资格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取消考试资格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4月29日更新：</w:t>
      </w:r>
    </w:p>
    <w:p>
      <w:pPr>
        <w:ind w:left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修改考试申请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修改考试申请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ind w:left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点击单元格即可选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冲突检测界面可点击单元格选择时间与场次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pBdr>
          <w:bottom w:val="none" w:color="auto" w:sz="0" w:space="0"/>
        </w:pBdr>
        <w:ind w:left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如需要手动指定教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手动指定教室与课号对应关系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4月24日更新：</w:t>
      </w:r>
    </w:p>
    <w:p>
      <w:pPr>
        <w:ind w:left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书签2：门贴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打印考试门贴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；</w:t>
      </w:r>
    </w:p>
    <w:p>
      <w:pPr>
        <w:pBdr>
          <w:bottom w:val="none" w:color="auto" w:sz="0" w:space="0"/>
        </w:pBdr>
        <w:ind w:left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 xml:space="preserve">HYPERLINK \l 缓考情况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缓考审核及缓考成绩自动录入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pBdr>
          <w:bottom w:val="thinThickSmallGap" w:color="050503" w:sz="8" w:space="0"/>
        </w:pBd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ind w:leftChars="0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排考操作手册（教师端，5月6日更新）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教师端申请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在“考试”|“个性化排考”页面，发起排考申请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5420" cy="1486535"/>
            <wp:effectExtent l="0" t="0" r="5080" b="1206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1点击申请考试，申请考试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274310" cy="843915"/>
            <wp:effectExtent l="0" t="0" r="0" b="0"/>
            <wp:docPr id="5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descrip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default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弹出本学期所带课程的所有教学任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务，在复选框勾选需要排考的课号，点击“申请考试”。如有使用同一套试卷考试的多个课号一起排考，同时选中要安排的课号。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274310" cy="939165"/>
            <wp:effectExtent l="0" t="0" r="0" b="0"/>
            <wp:docPr id="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descrip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9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after="0" w:line="240" w:lineRule="auto"/>
        <w:ind w:left="0" w:right="0"/>
        <w:jc w:val="both"/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2.如考试需要请印试卷，需要填写该门课程所需的试卷请印信息。</w:t>
      </w:r>
      <w:r>
        <w:rPr>
          <w:rFonts w:ascii="仿宋" w:hAnsi="仿宋" w:eastAsia="仿宋" w:cs="仿宋"/>
          <w:i w:val="0"/>
          <w:strike w:val="0"/>
          <w:color w:val="C00000"/>
          <w:sz w:val="32"/>
          <w:u w:val="none"/>
        </w:rPr>
        <w:t>如果提交了A、B两套试卷，卷别就选择A、B。“试卷底稿页数”指提交并密封的试卷页数，“答题纸底稿页数”指教师设计的答题纸模板页数。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2105660"/>
            <wp:effectExtent l="0" t="0" r="12065" b="254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注：如选择为否，则不需要填写上图圈中的内容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0" distR="0">
            <wp:extent cx="4352925" cy="1872615"/>
            <wp:effectExtent l="0" t="0" r="0" b="0"/>
            <wp:docPr id="14" name="picture" descr="descri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 descr="descript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87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点击“冲突检测”，显示该周的冲突情况（参照下图），可以点击“上一周”/“下一周”进行切换。</w:t>
      </w:r>
      <w:bookmarkStart w:id="0" w:name="点击单元格即可选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点击单元格即可选定排考场次。</w:t>
      </w:r>
      <w:bookmarkEnd w:id="0"/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请尽量选择无冲突或冲突人数较少的时间段排考。冲突类型为C（排考冲突）的无法在该时间段内安排考试。</w:t>
      </w:r>
    </w:p>
    <w:p>
      <w:pPr>
        <w:rPr>
          <w:rFonts w:hint="default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“A（B）:77”表示该时间段内有77人与理论课（实验课）冲突；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  <w:t>“C:20”表示该时间段内有20人与其他已安排考试冲突。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274310" cy="2181225"/>
            <wp:effectExtent l="0" t="0" r="0" b="0"/>
            <wp:docPr id="17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 descr="descrip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选择考试时间之后，再根据时间选择考场；如一次使用多个考场，可以设置不同的分配规则。</w:t>
      </w:r>
    </w:p>
    <w:p>
      <w:pPr>
        <w:rPr>
          <w:szCs w:val="32"/>
          <w:lang w:val="en-US" w:eastAsia="zh-CN"/>
        </w:rPr>
      </w:pPr>
      <w:r>
        <w:rPr>
          <w:szCs w:val="32"/>
        </w:rPr>
        <w:drawing>
          <wp:inline distT="0" distB="0" distL="0" distR="0">
            <wp:extent cx="5274310" cy="1751330"/>
            <wp:effectExtent l="0" t="0" r="0" b="0"/>
            <wp:docPr id="20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escript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1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32"/>
          <w:szCs w:val="32"/>
          <w:lang w:val="en-US" w:eastAsia="zh-CN"/>
        </w:rPr>
      </w:pPr>
      <w:bookmarkStart w:id="1" w:name="如需要手动指定教"/>
      <w:r>
        <w:rPr>
          <w:rFonts w:ascii="仿宋" w:hAnsi="仿宋" w:eastAsia="仿宋" w:cs="仿宋"/>
          <w:sz w:val="32"/>
          <w:szCs w:val="32"/>
          <w:lang w:val="en-US" w:eastAsia="zh-CN"/>
        </w:rPr>
        <w:t>如需要手动指定教室与课号的对应关系，选择“手动指定”。</w:t>
      </w:r>
    </w:p>
    <w:bookmarkEnd w:id="1"/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274310" cy="1107440"/>
            <wp:effectExtent l="0" t="0" r="0" b="0"/>
            <wp:docPr id="23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" descr="descrip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4.设置考试的主副监考，如不设置，直接下一步跳过，后期可补录；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5420" cy="1391920"/>
            <wp:effectExtent l="0" t="0" r="5080" b="5080"/>
            <wp:docPr id="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提交之后，显示自己申请的考试信息如下：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7325" cy="970280"/>
            <wp:effectExtent l="0" t="0" r="3175" b="7620"/>
            <wp:docPr id="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查询自己授课班级的考试情况及个人的监考情况</w:t>
      </w:r>
    </w:p>
    <w:p>
      <w:pPr>
        <w:widowControl w:val="0"/>
        <w:numPr>
          <w:ilvl w:val="0"/>
          <w:numId w:val="0"/>
        </w:numPr>
        <w:pBdr>
          <w:bottom w:val="none" w:color="auto" w:sz="0" w:space="0"/>
        </w:pBd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9865" cy="1266190"/>
            <wp:effectExtent l="0" t="0" r="635" b="3810"/>
            <wp:docPr id="3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4785" cy="887095"/>
            <wp:effectExtent l="0" t="0" r="5715" b="1905"/>
            <wp:docPr id="3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2" w:name="书签2：门贴"/>
      <w:bookmarkEnd w:id="2"/>
      <w:r>
        <w:rPr>
          <w:rFonts w:hint="eastAsia" w:ascii="仿宋" w:hAnsi="仿宋" w:eastAsia="仿宋" w:cs="仿宋"/>
          <w:color w:val="auto"/>
          <w:sz w:val="32"/>
          <w:szCs w:val="32"/>
        </w:rPr>
        <w:t>考试门贴：个性化排考申请页面勾选课程后，点击“打印门贴”后即可打印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0" distR="0">
            <wp:extent cx="5274310" cy="501015"/>
            <wp:effectExtent l="0" t="0" r="0" b="0"/>
            <wp:docPr id="3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" descr="descript"/>
                    <pic:cNvPicPr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numPr>
          <w:ilvl w:val="0"/>
          <w:numId w:val="2"/>
        </w:numPr>
        <w:pBdr>
          <w:bottom w:val="none" w:color="auto" w:sz="0" w:space="0"/>
        </w:pBdr>
        <w:rPr>
          <w:rFonts w:ascii="仿宋" w:hAnsi="仿宋" w:eastAsia="仿宋" w:cs="仿宋"/>
          <w:b w:val="0"/>
          <w:color w:val="auto"/>
          <w:sz w:val="32"/>
        </w:rPr>
      </w:pPr>
      <w:r>
        <w:rPr>
          <w:rFonts w:ascii="仿宋" w:hAnsi="仿宋" w:eastAsia="仿宋" w:cs="仿宋"/>
          <w:b w:val="0"/>
          <w:color w:val="auto"/>
          <w:sz w:val="32"/>
        </w:rPr>
        <w:t>缓</w:t>
      </w:r>
      <w:bookmarkStart w:id="3" w:name="缓考情况"/>
      <w:bookmarkEnd w:id="3"/>
      <w:r>
        <w:rPr>
          <w:rFonts w:ascii="仿宋" w:hAnsi="仿宋" w:eastAsia="仿宋" w:cs="仿宋"/>
          <w:b w:val="0"/>
          <w:color w:val="auto"/>
          <w:sz w:val="32"/>
        </w:rPr>
        <w:t>考情况审核及缓考成绩自动录入：</w:t>
      </w:r>
    </w:p>
    <w:p>
      <w:pPr>
        <w:snapToGrid/>
        <w:spacing w:line="240" w:lineRule="auto"/>
        <w:ind w:left="425" w:leftChars="0" w:hanging="425" w:firstLineChars="0"/>
        <w:rPr>
          <w:rFonts w:ascii="仿宋" w:hAnsi="仿宋" w:eastAsia="仿宋" w:cs="仿宋"/>
          <w:color w:val="000000"/>
          <w:sz w:val="32"/>
        </w:rPr>
      </w:pPr>
      <w:r>
        <w:rPr>
          <w:rFonts w:ascii="仿宋" w:hAnsi="仿宋" w:eastAsia="仿宋" w:cs="仿宋"/>
          <w:color w:val="000000"/>
          <w:sz w:val="32"/>
        </w:rPr>
        <w:t>审核流程：</w:t>
      </w:r>
    </w:p>
    <w:p>
      <w:pPr>
        <w:snapToGrid/>
        <w:spacing w:line="240" w:lineRule="auto"/>
        <w:ind w:left="425" w:leftChars="0" w:hanging="425" w:firstLineChars="0"/>
        <w:rPr>
          <w:rFonts w:ascii="仿宋" w:hAnsi="仿宋" w:eastAsia="仿宋" w:cs="仿宋"/>
          <w:color w:val="000000"/>
          <w:sz w:val="32"/>
        </w:rPr>
      </w:pPr>
      <w:r>
        <w:rPr>
          <w:rFonts w:ascii="仿宋" w:hAnsi="仿宋" w:eastAsia="仿宋" w:cs="仿宋"/>
          <w:color w:val="000000"/>
          <w:sz w:val="32"/>
        </w:rPr>
        <w:t>（1）学生申请</w:t>
      </w:r>
    </w:p>
    <w:p>
      <w:pPr>
        <w:snapToGrid/>
        <w:spacing w:line="240" w:lineRule="auto"/>
        <w:ind w:left="425" w:leftChars="0" w:hanging="425" w:firstLineChars="0"/>
        <w:rPr>
          <w:rFonts w:ascii="仿宋" w:hAnsi="仿宋" w:eastAsia="仿宋" w:cs="仿宋"/>
          <w:color w:val="000000"/>
          <w:sz w:val="32"/>
        </w:rPr>
      </w:pPr>
      <w:r>
        <w:rPr>
          <w:rFonts w:ascii="仿宋" w:hAnsi="仿宋" w:eastAsia="仿宋" w:cs="仿宋"/>
          <w:color w:val="000000"/>
          <w:sz w:val="32"/>
        </w:rPr>
        <w:t>（2）辅导员核实情况</w:t>
      </w:r>
    </w:p>
    <w:p>
      <w:pPr>
        <w:snapToGrid/>
        <w:spacing w:line="240" w:lineRule="auto"/>
        <w:ind w:left="425" w:leftChars="0" w:hanging="425" w:firstLineChars="0"/>
        <w:rPr>
          <w:rFonts w:ascii="仿宋" w:hAnsi="仿宋" w:eastAsia="仿宋" w:cs="仿宋"/>
          <w:color w:val="000000"/>
          <w:sz w:val="32"/>
        </w:rPr>
      </w:pPr>
      <w:r>
        <w:rPr>
          <w:rFonts w:ascii="仿宋" w:hAnsi="仿宋" w:eastAsia="仿宋" w:cs="仿宋"/>
          <w:color w:val="000000"/>
          <w:sz w:val="32"/>
        </w:rPr>
        <w:t>（3）任课教师确认</w:t>
      </w:r>
    </w:p>
    <w:p>
      <w:pPr>
        <w:snapToGrid/>
        <w:spacing w:line="240" w:lineRule="auto"/>
        <w:ind w:left="425" w:leftChars="0" w:hanging="425" w:firstLineChars="0"/>
        <w:rPr>
          <w:rFonts w:ascii="仿宋" w:hAnsi="仿宋" w:eastAsia="仿宋" w:cs="仿宋"/>
          <w:b w:val="0"/>
          <w:sz w:val="32"/>
        </w:rPr>
      </w:pPr>
      <w:r>
        <w:rPr>
          <w:rFonts w:ascii="仿宋" w:hAnsi="仿宋" w:eastAsia="仿宋" w:cs="仿宋"/>
          <w:color w:val="000000"/>
          <w:sz w:val="32"/>
        </w:rPr>
        <w:t>（4）学院领导确认</w:t>
      </w:r>
    </w:p>
    <w:p>
      <w:pPr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教师可以在“缓</w:t>
      </w:r>
      <w:bookmarkStart w:id="6" w:name="_GoBack"/>
      <w:bookmarkEnd w:id="6"/>
      <w:r>
        <w:rPr>
          <w:rFonts w:ascii="仿宋" w:hAnsi="仿宋" w:eastAsia="仿宋" w:cs="仿宋"/>
          <w:sz w:val="32"/>
        </w:rPr>
        <w:t>考审核”界面中查询相关结果</w:t>
      </w:r>
    </w:p>
    <w:p>
      <w:pPr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strike w:val="0"/>
          <w:spacing w:val="0"/>
          <w:sz w:val="32"/>
          <w:szCs w:val="32"/>
          <w:u w:val="none"/>
        </w:rPr>
        <w:drawing>
          <wp:inline distT="0" distB="0" distL="0" distR="0">
            <wp:extent cx="5274310" cy="1435735"/>
            <wp:effectExtent l="0" t="0" r="0" b="0"/>
            <wp:docPr id="41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" descr="descrip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6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在“缓考审核”页面，可以看到目前待审核的数据</w:t>
      </w:r>
    </w:p>
    <w:p>
      <w:r>
        <w:drawing>
          <wp:inline distT="0" distB="0" distL="0" distR="0">
            <wp:extent cx="5274310" cy="826770"/>
            <wp:effectExtent l="0" t="0" r="0" b="0"/>
            <wp:docPr id="44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" descr="descrip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7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点击“审核”，可以查看详情及办理</w:t>
      </w:r>
    </w:p>
    <w:p>
      <w:pPr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drawing>
          <wp:inline distT="0" distB="0" distL="0" distR="0">
            <wp:extent cx="5274310" cy="3115945"/>
            <wp:effectExtent l="0" t="0" r="0" b="0"/>
            <wp:docPr id="47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" descr="descript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bottom w:val="none" w:color="auto" w:sz="0" w:space="0"/>
        </w:pBdr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录入成绩时，缓考申请通过的学生成绩自动判定为缓考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274310" cy="1245235"/>
            <wp:effectExtent l="0" t="0" r="0" b="0"/>
            <wp:docPr id="50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" descr="descrip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rPr>
          <w:rFonts w:ascii="仿宋" w:hAnsi="仿宋" w:eastAsia="仿宋" w:cs="仿宋"/>
          <w:sz w:val="32"/>
          <w:szCs w:val="32"/>
        </w:rPr>
      </w:pPr>
      <w:bookmarkStart w:id="4" w:name="修改考试申请"/>
      <w:r>
        <w:rPr>
          <w:rFonts w:ascii="仿宋" w:hAnsi="仿宋" w:eastAsia="仿宋" w:cs="仿宋"/>
          <w:sz w:val="32"/>
          <w:szCs w:val="32"/>
        </w:rPr>
        <w:t>修改考试申请</w:t>
      </w:r>
      <w:bookmarkEnd w:id="4"/>
    </w:p>
    <w:p>
      <w:pPr>
        <w:snapToGrid/>
        <w:spacing w:before="0" w:after="0" w:line="240" w:lineRule="auto"/>
        <w:ind w:left="0" w:right="0"/>
        <w:jc w:val="both"/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教师可以对未通过的申请进行修改</w:t>
      </w:r>
    </w:p>
    <w:p>
      <w:pPr>
        <w:ind w:left="33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060950" cy="1144270"/>
            <wp:effectExtent l="0" t="0" r="0" b="0"/>
            <wp:docPr id="53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" descr="descrip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1144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7.取消</w:t>
      </w:r>
      <w:bookmarkStart w:id="5" w:name="取消考试资格"/>
      <w:bookmarkEnd w:id="5"/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考试资格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考试情况设置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drawing>
          <wp:inline distT="0" distB="0" distL="0" distR="0">
            <wp:extent cx="5004435" cy="1078865"/>
            <wp:effectExtent l="0" t="0" r="0" b="0"/>
            <wp:docPr id="56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" descr="descript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04435" cy="10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 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在“应考学生名单”中，可以查询自己教学班下学生的考试名单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drawing>
          <wp:inline distT="0" distB="0" distL="0" distR="0">
            <wp:extent cx="5274310" cy="1266825"/>
            <wp:effectExtent l="0" t="0" r="0" b="0"/>
            <wp:docPr id="59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" descr="descript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默认是正常状态的考试，且已发布；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修改时，选中学生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drawing>
          <wp:inline distT="0" distB="0" distL="0" distR="0">
            <wp:extent cx="5274310" cy="1143000"/>
            <wp:effectExtent l="0" t="0" r="0" b="0"/>
            <wp:docPr id="62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" descr="descript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①先取消考试情况发布；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②点击“批量填报考试情况”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drawing>
          <wp:inline distT="0" distB="0" distL="0" distR="0">
            <wp:extent cx="5274310" cy="1579880"/>
            <wp:effectExtent l="0" t="0" r="0" b="0"/>
            <wp:docPr id="65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" descr="descript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0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选择合适的考试情况，点击确定</w:t>
      </w:r>
    </w:p>
    <w:p>
      <w:pPr>
        <w:snapToGrid/>
        <w:spacing w:before="0" w:after="0" w:line="240" w:lineRule="auto"/>
        <w:ind w:left="0" w:right="0"/>
        <w:jc w:val="both"/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③发布考试情况</w:t>
      </w:r>
    </w:p>
    <w:p>
      <w:pPr>
        <w:snapToGrid/>
        <w:spacing w:before="0" w:after="0" w:line="240" w:lineRule="auto"/>
        <w:ind w:left="0" w:right="0"/>
        <w:jc w:val="both"/>
      </w:pPr>
      <w:r>
        <w:rPr>
          <w:rFonts w:ascii="仿宋" w:hAnsi="仿宋" w:eastAsia="仿宋" w:cs="仿宋"/>
          <w:i w:val="0"/>
          <w:strike w:val="0"/>
          <w:color w:val="000000"/>
          <w:sz w:val="32"/>
          <w:u w:val="none"/>
        </w:rPr>
        <w:t>在录入成绩时显示：</w:t>
      </w:r>
    </w:p>
    <w:p>
      <w:pPr>
        <w:ind w:left="33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060950" cy="1055370"/>
            <wp:effectExtent l="0" t="0" r="0" b="0"/>
            <wp:docPr id="6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" descr="descript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105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5"/>
      <w:numFmt w:val="decimal"/>
      <w:lvlText w:val="%1."/>
      <w:lvlJc w:val="left"/>
      <w:pPr>
        <w:ind w:left="336" w:hanging="336"/>
      </w:pPr>
    </w:lvl>
    <w:lvl w:ilvl="1" w:tentative="0">
      <w:start w:val="1"/>
      <w:numFmt w:val="decimal"/>
      <w:lvlText w:val="%1.%2."/>
      <w:lvlJc w:val="left"/>
      <w:pPr>
        <w:ind w:left="924" w:hanging="504"/>
      </w:pPr>
    </w:lvl>
    <w:lvl w:ilvl="2" w:tentative="0">
      <w:start w:val="1"/>
      <w:numFmt w:val="decimal"/>
      <w:lvlText w:val="%1.%2.%3."/>
      <w:lvlJc w:val="left"/>
      <w:pPr>
        <w:ind w:left="1512" w:hanging="672"/>
      </w:pPr>
    </w:lvl>
    <w:lvl w:ilvl="3" w:tentative="0">
      <w:start w:val="1"/>
      <w:numFmt w:val="decimal"/>
      <w:lvlText w:val="%1.%2.%3.%4."/>
      <w:lvlJc w:val="left"/>
      <w:pPr>
        <w:ind w:left="2100" w:hanging="840"/>
      </w:pPr>
    </w:lvl>
    <w:lvl w:ilvl="4" w:tentative="0">
      <w:start w:val="1"/>
      <w:numFmt w:val="decimal"/>
      <w:lvlText w:val="%1.%2.%3.%4.%5."/>
      <w:lvlJc w:val="left"/>
      <w:pPr>
        <w:ind w:left="2688" w:hanging="1008"/>
      </w:pPr>
    </w:lvl>
    <w:lvl w:ilvl="5" w:tentative="0">
      <w:start w:val="1"/>
      <w:numFmt w:val="decimal"/>
      <w:lvlText w:val="%1.%2.%3.%4.%5.%6."/>
      <w:lvlJc w:val="left"/>
      <w:pPr>
        <w:ind w:left="3276" w:hanging="1176"/>
      </w:pPr>
    </w:lvl>
    <w:lvl w:ilvl="6" w:tentative="0">
      <w:start w:val="1"/>
      <w:numFmt w:val="decimal"/>
      <w:lvlText w:val="%1.%2.%3.%4.%5.%6.%7."/>
      <w:lvlJc w:val="left"/>
      <w:pPr>
        <w:ind w:left="3864" w:hanging="1344"/>
      </w:pPr>
    </w:lvl>
    <w:lvl w:ilvl="7" w:tentative="0">
      <w:start w:val="1"/>
      <w:numFmt w:val="decimal"/>
      <w:lvlText w:val="%1.%2.%3.%4.%5.%6.%7.%8."/>
      <w:lvlJc w:val="left"/>
      <w:pPr>
        <w:ind w:left="4452" w:hanging="1512"/>
      </w:pPr>
    </w:lvl>
    <w:lvl w:ilvl="8" w:tentative="0">
      <w:start w:val="1"/>
      <w:numFmt w:val="decimal"/>
      <w:lvlText w:val="%1.%2.%3.%4.%5.%6.%7.%8.%9."/>
      <w:lvlJc w:val="left"/>
      <w:pPr>
        <w:ind w:left="5040" w:hanging="1680"/>
      </w:pPr>
    </w:lvl>
  </w:abstractNum>
  <w:abstractNum w:abstractNumId="1">
    <w:nsid w:val="59ADCABA"/>
    <w:multiLevelType w:val="multilevel"/>
    <w:tmpl w:val="59ADCABA"/>
    <w:lvl w:ilvl="0" w:tentative="0">
      <w:start w:val="3"/>
      <w:numFmt w:val="decimal"/>
      <w:lvlText w:val="%1."/>
      <w:lvlJc w:val="left"/>
      <w:pPr>
        <w:ind w:left="336" w:hanging="336"/>
      </w:pPr>
    </w:lvl>
    <w:lvl w:ilvl="1" w:tentative="0">
      <w:start w:val="1"/>
      <w:numFmt w:val="decimal"/>
      <w:lvlText w:val="%1.%2."/>
      <w:lvlJc w:val="left"/>
      <w:pPr>
        <w:ind w:left="924" w:hanging="504"/>
      </w:pPr>
    </w:lvl>
    <w:lvl w:ilvl="2" w:tentative="0">
      <w:start w:val="1"/>
      <w:numFmt w:val="decimal"/>
      <w:lvlText w:val="%1.%2.%3."/>
      <w:lvlJc w:val="left"/>
      <w:pPr>
        <w:ind w:left="1512" w:hanging="672"/>
      </w:pPr>
    </w:lvl>
    <w:lvl w:ilvl="3" w:tentative="0">
      <w:start w:val="1"/>
      <w:numFmt w:val="decimal"/>
      <w:lvlText w:val="%1.%2.%3.%4."/>
      <w:lvlJc w:val="left"/>
      <w:pPr>
        <w:ind w:left="2100" w:hanging="840"/>
      </w:pPr>
    </w:lvl>
    <w:lvl w:ilvl="4" w:tentative="0">
      <w:start w:val="1"/>
      <w:numFmt w:val="decimal"/>
      <w:lvlText w:val="%1.%2.%3.%4.%5."/>
      <w:lvlJc w:val="left"/>
      <w:pPr>
        <w:ind w:left="2688" w:hanging="1008"/>
      </w:pPr>
    </w:lvl>
    <w:lvl w:ilvl="5" w:tentative="0">
      <w:start w:val="1"/>
      <w:numFmt w:val="decimal"/>
      <w:lvlText w:val="%1.%2.%3.%4.%5.%6."/>
      <w:lvlJc w:val="left"/>
      <w:pPr>
        <w:ind w:left="3276" w:hanging="1176"/>
      </w:pPr>
    </w:lvl>
    <w:lvl w:ilvl="6" w:tentative="0">
      <w:start w:val="1"/>
      <w:numFmt w:val="decimal"/>
      <w:lvlText w:val="%1.%2.%3.%4.%5.%6.%7."/>
      <w:lvlJc w:val="left"/>
      <w:pPr>
        <w:ind w:left="3864" w:hanging="1344"/>
      </w:pPr>
    </w:lvl>
    <w:lvl w:ilvl="7" w:tentative="0">
      <w:start w:val="1"/>
      <w:numFmt w:val="decimal"/>
      <w:lvlText w:val="%1.%2.%3.%4.%5.%6.%7.%8."/>
      <w:lvlJc w:val="left"/>
      <w:pPr>
        <w:ind w:left="4452" w:hanging="1512"/>
      </w:pPr>
    </w:lvl>
    <w:lvl w:ilvl="8" w:tentative="0">
      <w:start w:val="1"/>
      <w:numFmt w:val="decimal"/>
      <w:lvlText w:val="%1.%2.%3.%4.%5.%6.%7.%8.%9."/>
      <w:lvlJc w:val="left"/>
      <w:pPr>
        <w:ind w:left="5040" w:hanging="16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573A1A0F"/>
    <w:rsid w:val="0E982922"/>
    <w:rsid w:val="14014D8E"/>
    <w:rsid w:val="151B6766"/>
    <w:rsid w:val="1D8E3BF5"/>
    <w:rsid w:val="253B7D61"/>
    <w:rsid w:val="27D6111F"/>
    <w:rsid w:val="2D8E54E4"/>
    <w:rsid w:val="2F472C96"/>
    <w:rsid w:val="31D377A4"/>
    <w:rsid w:val="38093C2A"/>
    <w:rsid w:val="386F66A6"/>
    <w:rsid w:val="38B31526"/>
    <w:rsid w:val="3C920DF9"/>
    <w:rsid w:val="48E870A9"/>
    <w:rsid w:val="4C1E60FD"/>
    <w:rsid w:val="4E7A2926"/>
    <w:rsid w:val="4F0C655D"/>
    <w:rsid w:val="55462B8A"/>
    <w:rsid w:val="573A1A0F"/>
    <w:rsid w:val="625978FB"/>
    <w:rsid w:val="6935797A"/>
    <w:rsid w:val="6BC70DE0"/>
    <w:rsid w:val="6D12171A"/>
    <w:rsid w:val="6D46160D"/>
    <w:rsid w:val="757103B1"/>
    <w:rsid w:val="7D2E1604"/>
    <w:rsid w:val="7F3E52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0" w:after="0" w:line="408" w:lineRule="auto"/>
      <w:outlineLvl w:val="1"/>
    </w:pPr>
    <w:rPr>
      <w:b/>
      <w:bCs/>
      <w:color w:val="1A1A1A"/>
      <w:sz w:val="32"/>
      <w:szCs w:val="32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nhideWhenUsed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2024-05-13T11:52:00Z</dcterms:created>
  <dc:creator>CTche</dc:creator>
  <cp:lastModifiedBy>陈</cp:lastModifiedBy>
  <dcterms:modified xsi:type="dcterms:W3CDTF">2024-05-13T03:53:46Z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6E64C53CEF8A40A18706513FA1DD4821_12</vt:lpwstr>
  </property>
</Properties>
</file>