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3CB38">
      <w:pPr>
        <w:widowControl/>
        <w:jc w:val="center"/>
        <w:textAlignment w:val="center"/>
        <w:rPr>
          <w:rFonts w:ascii="仿宋" w:hAnsi="仿宋" w:eastAsia="仿宋" w:cs="仿宋"/>
          <w:color w:val="000000"/>
          <w:sz w:val="36"/>
          <w:szCs w:val="28"/>
        </w:rPr>
      </w:pPr>
      <w:r>
        <w:rPr>
          <w:rFonts w:hint="eastAsia" w:ascii="仿宋" w:hAnsi="仿宋" w:eastAsia="仿宋" w:cs="仿宋"/>
          <w:color w:val="000000"/>
          <w:sz w:val="36"/>
          <w:szCs w:val="28"/>
        </w:rPr>
        <w:t>仪器共享典型案例征集表</w:t>
      </w:r>
    </w:p>
    <w:tbl>
      <w:tblPr>
        <w:tblStyle w:val="2"/>
        <w:tblW w:w="5053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84"/>
        <w:gridCol w:w="2342"/>
        <w:gridCol w:w="71"/>
        <w:gridCol w:w="1421"/>
        <w:gridCol w:w="69"/>
        <w:gridCol w:w="2754"/>
      </w:tblGrid>
      <w:tr w14:paraId="2D224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0505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姓名：</w:t>
            </w:r>
          </w:p>
        </w:tc>
        <w:tc>
          <w:tcPr>
            <w:tcW w:w="14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3F13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4054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工号：</w:t>
            </w:r>
          </w:p>
        </w:tc>
        <w:tc>
          <w:tcPr>
            <w:tcW w:w="1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5D90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1EC2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CE2F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单位：</w:t>
            </w:r>
          </w:p>
        </w:tc>
        <w:tc>
          <w:tcPr>
            <w:tcW w:w="14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87CA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3EBC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电话：</w:t>
            </w:r>
          </w:p>
        </w:tc>
        <w:tc>
          <w:tcPr>
            <w:tcW w:w="1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A149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6F75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9E99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征集方向</w:t>
            </w:r>
          </w:p>
        </w:tc>
        <w:tc>
          <w:tcPr>
            <w:tcW w:w="391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AC44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□基础研究创新方向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□成果转化应用方向</w:t>
            </w:r>
          </w:p>
          <w:p w14:paraId="6418D02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□社会服务示范方向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人才培养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支撑方向</w:t>
            </w:r>
          </w:p>
        </w:tc>
      </w:tr>
      <w:tr w14:paraId="1C3A1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DE53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依托的</w:t>
            </w:r>
          </w:p>
          <w:p w14:paraId="699FE7B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大型仪器</w:t>
            </w:r>
          </w:p>
        </w:tc>
        <w:tc>
          <w:tcPr>
            <w:tcW w:w="391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9A1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设备名称+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仪器设备责任人</w:t>
            </w:r>
          </w:p>
        </w:tc>
      </w:tr>
      <w:tr w14:paraId="21CCC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6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B3643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1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5D705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XXXX联用仪 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管理人员：XXX</w:t>
            </w:r>
          </w:p>
        </w:tc>
      </w:tr>
      <w:tr w14:paraId="13CC1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7B9C0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1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19D15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D139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000" w:type="pct"/>
            <w:gridSpan w:val="7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002ECA7">
            <w:pPr>
              <w:widowControl/>
              <w:spacing w:line="360" w:lineRule="auto"/>
              <w:textAlignment w:val="top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案例填写：</w:t>
            </w:r>
          </w:p>
          <w:p w14:paraId="5FA6A0B8">
            <w:pPr>
              <w:widowControl/>
              <w:spacing w:line="360" w:lineRule="auto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（参照案例范本填写，不超过5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字）</w:t>
            </w:r>
          </w:p>
          <w:p w14:paraId="376E7FC0">
            <w:pPr>
              <w:widowControl/>
              <w:spacing w:line="360" w:lineRule="auto"/>
              <w:textAlignment w:val="top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0204144A">
            <w:pPr>
              <w:widowControl/>
              <w:spacing w:line="360" w:lineRule="auto"/>
              <w:textAlignment w:val="top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4FA45461">
            <w:pPr>
              <w:widowControl/>
              <w:spacing w:line="360" w:lineRule="auto"/>
              <w:textAlignment w:val="top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505A6AD1">
            <w:pPr>
              <w:widowControl/>
              <w:spacing w:line="360" w:lineRule="auto"/>
              <w:textAlignment w:val="top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62054EB9">
            <w:pPr>
              <w:widowControl/>
              <w:spacing w:line="360" w:lineRule="auto"/>
              <w:textAlignment w:val="top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70CC8972">
            <w:pPr>
              <w:widowControl/>
              <w:spacing w:line="360" w:lineRule="auto"/>
              <w:textAlignment w:val="top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362E0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000" w:type="pct"/>
            <w:gridSpan w:val="7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279B32C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55A2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000" w:type="pct"/>
            <w:gridSpan w:val="7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7B61E29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632C8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000" w:type="pct"/>
            <w:gridSpan w:val="7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9967E30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27B3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</w:trPr>
        <w:tc>
          <w:tcPr>
            <w:tcW w:w="5000" w:type="pct"/>
            <w:gridSpan w:val="7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F7BE156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2D20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10FAE981">
            <w:pPr>
              <w:widowControl/>
              <w:spacing w:line="360" w:lineRule="auto"/>
              <w:textAlignment w:val="top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请填写校外合作单位的联系人员信息：</w:t>
            </w:r>
          </w:p>
        </w:tc>
      </w:tr>
      <w:tr w14:paraId="3802D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1135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1648D23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姓名：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D090F1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66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38C8756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电话：</w:t>
            </w:r>
          </w:p>
        </w:tc>
        <w:tc>
          <w:tcPr>
            <w:tcW w:w="1638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0A8BDF8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8C8D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135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FDE2A5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邮箱：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1F93A93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66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DDE806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单位：</w:t>
            </w:r>
          </w:p>
        </w:tc>
        <w:tc>
          <w:tcPr>
            <w:tcW w:w="1638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2560CF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 w14:paraId="2DF242C5">
      <w:pPr>
        <w:widowControl/>
        <w:jc w:val="left"/>
        <w:rPr>
          <w:rFonts w:ascii="Times New Roman" w:hAnsi="Times New Roman"/>
          <w:b/>
          <w:sz w:val="28"/>
        </w:rPr>
      </w:pPr>
      <w:r>
        <w:rPr>
          <w:rFonts w:ascii="宋体" w:hAnsi="宋体" w:cs="宋体"/>
          <w:color w:val="FF0000"/>
          <w:kern w:val="0"/>
          <w:sz w:val="28"/>
          <w:szCs w:val="28"/>
          <w:lang w:bidi="ar"/>
        </w:rPr>
        <w:br w:type="page"/>
      </w:r>
      <w:r>
        <w:rPr>
          <w:rFonts w:hint="eastAsia" w:ascii="Times New Roman" w:hAnsi="Times New Roman"/>
          <w:b/>
          <w:sz w:val="28"/>
        </w:rPr>
        <w:t>案例范本一（基础研究创新方向）</w:t>
      </w:r>
    </w:p>
    <w:p w14:paraId="41F840AE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成果名称：</w:t>
      </w:r>
      <w:r>
        <w:rPr>
          <w:rFonts w:hint="eastAsia" w:ascii="Times New Roman" w:hAnsi="Times New Roman"/>
          <w:sz w:val="28"/>
        </w:rPr>
        <w:t>跨尺度材料界面行为解析技术体系构建</w:t>
      </w:r>
    </w:p>
    <w:p w14:paraId="6BD62721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技术突破：</w:t>
      </w:r>
      <w:r>
        <w:rPr>
          <w:rFonts w:hint="eastAsia" w:ascii="Times New Roman" w:hAnsi="Times New Roman"/>
          <w:sz w:val="28"/>
        </w:rPr>
        <w:t>针对某二维异质结材料界面动态演化机制不明的科学难题，XXX研究团队通过改造场发射透射电镜电子光学系统，集成自主研发的原位加热</w:t>
      </w:r>
      <w:r>
        <w:rPr>
          <w:rFonts w:ascii="Times New Roman" w:hAnsi="Times New Roman"/>
          <w:sz w:val="28"/>
        </w:rPr>
        <w:t>-力学耦合样品台，突破传统表征技术时空分辨率限制。创新性开发多模态数据融合算法，实现原子尺度界面扩散过程的三维动态重构。</w:t>
      </w:r>
    </w:p>
    <w:p w14:paraId="11A8079D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创新价值</w:t>
      </w:r>
      <w:r>
        <w:rPr>
          <w:rFonts w:hint="eastAsia" w:ascii="Times New Roman" w:hAnsi="Times New Roman"/>
          <w:sz w:val="28"/>
        </w:rPr>
        <w:t>：建立全球首个异质界面动态行为数据库，相关成果形成X</w:t>
      </w:r>
      <w:r>
        <w:rPr>
          <w:rFonts w:ascii="Times New Roman" w:hAnsi="Times New Roman"/>
          <w:sz w:val="28"/>
        </w:rPr>
        <w:t>篇《</w:t>
      </w:r>
      <w:r>
        <w:rPr>
          <w:rFonts w:hint="eastAsia" w:ascii="Times New Roman" w:hAnsi="Times New Roman"/>
          <w:sz w:val="28"/>
        </w:rPr>
        <w:t>XXX</w:t>
      </w:r>
      <w:r>
        <w:rPr>
          <w:rFonts w:ascii="Times New Roman" w:hAnsi="Times New Roman"/>
          <w:sz w:val="28"/>
        </w:rPr>
        <w:t>》《</w:t>
      </w:r>
      <w:r>
        <w:rPr>
          <w:rFonts w:hint="eastAsia" w:ascii="Times New Roman" w:hAnsi="Times New Roman"/>
          <w:sz w:val="28"/>
        </w:rPr>
        <w:t>XXX</w:t>
      </w:r>
      <w:r>
        <w:rPr>
          <w:rFonts w:ascii="Times New Roman" w:hAnsi="Times New Roman"/>
          <w:sz w:val="28"/>
        </w:rPr>
        <w:t>》系列论文。为新一代量子器件设计提供理论依据。</w:t>
      </w:r>
    </w:p>
    <w:p w14:paraId="7638D7CA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持续影响：</w:t>
      </w:r>
      <w:r>
        <w:rPr>
          <w:rFonts w:hint="eastAsia" w:ascii="Times New Roman" w:hAnsi="Times New Roman"/>
          <w:sz w:val="28"/>
        </w:rPr>
        <w:t>牵头成立国际材料表征联盟，与X国XXX、XXX研究所建立设备共享机制，推动建设校级跨学科分析平台。</w:t>
      </w:r>
    </w:p>
    <w:p w14:paraId="7DBB64B4">
      <w:pPr>
        <w:spacing w:line="560" w:lineRule="exact"/>
        <w:ind w:firstLine="560" w:firstLineChars="200"/>
        <w:rPr>
          <w:rFonts w:ascii="Times New Roman" w:hAnsi="Times New Roman"/>
          <w:sz w:val="28"/>
        </w:rPr>
      </w:pPr>
    </w:p>
    <w:p w14:paraId="19134534">
      <w:pPr>
        <w:spacing w:line="560" w:lineRule="exact"/>
        <w:ind w:firstLine="562" w:firstLineChars="200"/>
        <w:rPr>
          <w:rFonts w:ascii="Times New Roman" w:hAnsi="Times New Roman"/>
          <w:b/>
          <w:sz w:val="28"/>
        </w:rPr>
      </w:pPr>
      <w:r>
        <w:rPr>
          <w:rFonts w:hint="eastAsia" w:ascii="Times New Roman" w:hAnsi="Times New Roman"/>
          <w:b/>
          <w:sz w:val="28"/>
        </w:rPr>
        <w:t>案例范本二（成果转化应用方向）</w:t>
      </w:r>
    </w:p>
    <w:p w14:paraId="1352A074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成果名称：</w:t>
      </w:r>
      <w:r>
        <w:rPr>
          <w:rFonts w:hint="eastAsia" w:ascii="Times New Roman" w:hAnsi="Times New Roman"/>
          <w:sz w:val="28"/>
        </w:rPr>
        <w:t>生物可降解材料连续化生产技术</w:t>
      </w:r>
    </w:p>
    <w:p w14:paraId="63E23D55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技术路径：</w:t>
      </w:r>
      <w:r>
        <w:rPr>
          <w:rFonts w:hint="eastAsia" w:ascii="Times New Roman" w:hAnsi="Times New Roman"/>
          <w:sz w:val="28"/>
        </w:rPr>
        <w:t>针对某生物基高分子材料工业化生产中的相分离控制难题，利用双螺杆共混挤出系统与在线近红外监测装置，构建熔体流变特性</w:t>
      </w:r>
      <w:r>
        <w:rPr>
          <w:rFonts w:hint="eastAsia" w:ascii="Times New Roman" w:hAnsi="Times New Roman"/>
          <w:sz w:val="28"/>
          <w:lang w:eastAsia="zh-CN"/>
        </w:rPr>
        <w:t>—</w:t>
      </w:r>
      <w:r>
        <w:rPr>
          <w:rFonts w:ascii="Times New Roman" w:hAnsi="Times New Roman"/>
          <w:sz w:val="28"/>
        </w:rPr>
        <w:t>微观结构</w:t>
      </w:r>
      <w:r>
        <w:rPr>
          <w:rFonts w:hint="eastAsia" w:ascii="Times New Roman" w:hAnsi="Times New Roman"/>
          <w:sz w:val="28"/>
          <w:lang w:eastAsia="zh-CN"/>
        </w:rPr>
        <w:t>—</w:t>
      </w:r>
      <w:r>
        <w:rPr>
          <w:rFonts w:ascii="Times New Roman" w:hAnsi="Times New Roman"/>
          <w:sz w:val="28"/>
        </w:rPr>
        <w:t>宏观性能的智能关联模型。创新开发梯度温度场调控工艺，攻克连续化生产中的热力学不稳定性瓶颈。</w:t>
      </w:r>
    </w:p>
    <w:p w14:paraId="7957D2BF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转化成效：</w:t>
      </w:r>
      <w:r>
        <w:rPr>
          <w:rFonts w:hint="eastAsia" w:ascii="Times New Roman" w:hAnsi="Times New Roman"/>
          <w:sz w:val="28"/>
        </w:rPr>
        <w:t>建成国内首条千吨级示范生产线，产品力学性能提升</w:t>
      </w:r>
      <w:r>
        <w:rPr>
          <w:rFonts w:ascii="Times New Roman" w:hAnsi="Times New Roman"/>
          <w:sz w:val="28"/>
        </w:rPr>
        <w:t>200%，生产成本下降35%。通过</w:t>
      </w:r>
      <w:r>
        <w:rPr>
          <w:rFonts w:hint="eastAsia" w:ascii="Times New Roman" w:hAnsi="Times New Roman"/>
          <w:sz w:val="28"/>
        </w:rPr>
        <w:t>XXX</w:t>
      </w:r>
      <w:r>
        <w:rPr>
          <w:rFonts w:ascii="Times New Roman" w:hAnsi="Times New Roman"/>
          <w:sz w:val="28"/>
        </w:rPr>
        <w:t>认证近三年替代进口材料12万吨。形成20项发明专利群，技术作价入股</w:t>
      </w:r>
      <w:r>
        <w:rPr>
          <w:rFonts w:hint="eastAsia" w:ascii="Times New Roman" w:hAnsi="Times New Roman"/>
          <w:sz w:val="28"/>
        </w:rPr>
        <w:t>孵化XXX</w:t>
      </w:r>
      <w:r>
        <w:rPr>
          <w:rFonts w:ascii="Times New Roman" w:hAnsi="Times New Roman"/>
          <w:sz w:val="28"/>
        </w:rPr>
        <w:t>公司，获</w:t>
      </w:r>
      <w:r>
        <w:rPr>
          <w:rFonts w:hint="eastAsia" w:ascii="Times New Roman" w:hAnsi="Times New Roman"/>
          <w:sz w:val="28"/>
        </w:rPr>
        <w:t>XXX</w:t>
      </w:r>
      <w:r>
        <w:rPr>
          <w:rFonts w:ascii="Times New Roman" w:hAnsi="Times New Roman"/>
          <w:sz w:val="28"/>
        </w:rPr>
        <w:t>奖。</w:t>
      </w:r>
    </w:p>
    <w:p w14:paraId="393CE6AB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产业协同：</w:t>
      </w:r>
      <w:r>
        <w:rPr>
          <w:rFonts w:hint="eastAsia" w:ascii="Times New Roman" w:hAnsi="Times New Roman"/>
          <w:sz w:val="28"/>
        </w:rPr>
        <w:t>与行业协会共建联合实验室，主导制定</w:t>
      </w:r>
      <w:r>
        <w:rPr>
          <w:rFonts w:ascii="Times New Roman" w:hAnsi="Times New Roman"/>
          <w:sz w:val="28"/>
        </w:rPr>
        <w:t>2项国家行业标准，技术辐射6家上市公司。</w:t>
      </w:r>
    </w:p>
    <w:p w14:paraId="7069FC92">
      <w:pPr>
        <w:spacing w:line="560" w:lineRule="exact"/>
        <w:ind w:firstLine="560" w:firstLineChars="200"/>
        <w:rPr>
          <w:rFonts w:ascii="Times New Roman" w:hAnsi="Times New Roman"/>
          <w:sz w:val="28"/>
        </w:rPr>
      </w:pPr>
    </w:p>
    <w:p w14:paraId="2D0B4DB3">
      <w:pPr>
        <w:spacing w:line="560" w:lineRule="exact"/>
        <w:ind w:firstLine="562" w:firstLineChars="200"/>
        <w:rPr>
          <w:rFonts w:ascii="Times New Roman" w:hAnsi="Times New Roman"/>
          <w:b/>
          <w:sz w:val="28"/>
        </w:rPr>
      </w:pPr>
      <w:r>
        <w:rPr>
          <w:rFonts w:hint="eastAsia" w:ascii="Times New Roman" w:hAnsi="Times New Roman"/>
          <w:b/>
          <w:sz w:val="28"/>
        </w:rPr>
        <w:t>案例范本三（社会服务示范方向）</w:t>
      </w:r>
    </w:p>
    <w:p w14:paraId="25B08BCB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成果名称：</w:t>
      </w:r>
      <w:r>
        <w:rPr>
          <w:rFonts w:hint="eastAsia" w:ascii="Times New Roman" w:hAnsi="Times New Roman"/>
          <w:sz w:val="28"/>
        </w:rPr>
        <w:t>区域性土壤污染靶向修复系统</w:t>
      </w:r>
    </w:p>
    <w:p w14:paraId="00EFB454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bCs/>
          <w:sz w:val="28"/>
        </w:rPr>
        <w:t>技术体系：</w:t>
      </w:r>
      <w:r>
        <w:rPr>
          <w:rFonts w:hint="eastAsia" w:ascii="Times New Roman" w:hAnsi="Times New Roman"/>
          <w:sz w:val="28"/>
        </w:rPr>
        <w:t>基于高分辨质谱与</w:t>
      </w:r>
      <w:r>
        <w:rPr>
          <w:rFonts w:ascii="Times New Roman" w:hAnsi="Times New Roman"/>
          <w:sz w:val="28"/>
        </w:rPr>
        <w:t>X射线荧光联用技术，构建涵盖32种污染物的快速检测模块。结合地理信息系统开发空间插值算法，精准定位某矿区周边土壤镉、砷复合污染热点区域。研制缓释型钝化剂自动撒播装备，实现修复效率与成本的最优平衡。</w:t>
      </w:r>
    </w:p>
    <w:p w14:paraId="06E5BC3B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实施成效</w:t>
      </w:r>
      <w:r>
        <w:rPr>
          <w:rFonts w:hint="eastAsia" w:ascii="Times New Roman" w:hAnsi="Times New Roman"/>
          <w:sz w:val="28"/>
        </w:rPr>
        <w:t>：在</w:t>
      </w:r>
      <w:r>
        <w:rPr>
          <w:rFonts w:ascii="Times New Roman" w:hAnsi="Times New Roman"/>
          <w:sz w:val="28"/>
        </w:rPr>
        <w:t>3省8县完成12.6万亩污染耕地治理，农作物重金属超标率从28%降至4%以下。建立</w:t>
      </w:r>
      <w:r>
        <w:rPr>
          <w:rFonts w:hint="eastAsia" w:ascii="Times New Roman" w:hAnsi="Times New Roman"/>
          <w:sz w:val="28"/>
          <w:lang w:eastAsia="zh-CN"/>
        </w:rPr>
        <w:t>“</w:t>
      </w:r>
      <w:r>
        <w:rPr>
          <w:rFonts w:ascii="Times New Roman" w:hAnsi="Times New Roman"/>
          <w:sz w:val="28"/>
        </w:rPr>
        <w:t>检测</w:t>
      </w:r>
      <w:r>
        <w:rPr>
          <w:rFonts w:hint="eastAsia" w:ascii="Times New Roman" w:hAnsi="Times New Roman"/>
          <w:sz w:val="28"/>
          <w:lang w:eastAsia="zh-CN"/>
        </w:rPr>
        <w:t>—</w:t>
      </w:r>
      <w:r>
        <w:rPr>
          <w:rFonts w:ascii="Times New Roman" w:hAnsi="Times New Roman"/>
          <w:sz w:val="28"/>
        </w:rPr>
        <w:t>修复</w:t>
      </w:r>
      <w:r>
        <w:rPr>
          <w:rFonts w:hint="eastAsia" w:ascii="Times New Roman" w:hAnsi="Times New Roman"/>
          <w:sz w:val="28"/>
          <w:lang w:eastAsia="zh-CN"/>
        </w:rPr>
        <w:t>—</w:t>
      </w:r>
      <w:r>
        <w:rPr>
          <w:rFonts w:ascii="Times New Roman" w:hAnsi="Times New Roman"/>
          <w:sz w:val="28"/>
        </w:rPr>
        <w:t>评估</w:t>
      </w:r>
      <w:r>
        <w:rPr>
          <w:rFonts w:hint="eastAsia" w:ascii="Times New Roman" w:hAnsi="Times New Roman"/>
          <w:sz w:val="28"/>
          <w:lang w:eastAsia="zh-CN"/>
        </w:rPr>
        <w:t>”</w:t>
      </w:r>
      <w:r>
        <w:rPr>
          <w:rFonts w:ascii="Times New Roman" w:hAnsi="Times New Roman"/>
          <w:sz w:val="28"/>
        </w:rPr>
        <w:t>全流程解决方案，相关数据支撑生态环境部修订《农用地土壤污染风险管控标准》。技术包被纳入农业农村部重点推广技术目录，培训基层技术人员600余人次。</w:t>
      </w:r>
    </w:p>
    <w:p w14:paraId="3672E260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社会反响：</w:t>
      </w:r>
      <w:r>
        <w:rPr>
          <w:rFonts w:hint="eastAsia" w:ascii="Times New Roman" w:hAnsi="Times New Roman"/>
          <w:sz w:val="28"/>
        </w:rPr>
        <w:t>获</w:t>
      </w:r>
      <w:r>
        <w:rPr>
          <w:rFonts w:hint="eastAsia" w:ascii="Times New Roman" w:hAnsi="Times New Roman"/>
          <w:sz w:val="28"/>
          <w:lang w:val="en-US" w:eastAsia="zh-CN"/>
        </w:rPr>
        <w:t>XX电视台</w:t>
      </w:r>
      <w:r>
        <w:rPr>
          <w:rFonts w:hint="eastAsia" w:ascii="Times New Roman" w:hAnsi="Times New Roman"/>
          <w:sz w:val="28"/>
        </w:rPr>
        <w:t>《XXXX》专题报道，修复区稻米品质通过XXX</w:t>
      </w:r>
      <w:r>
        <w:rPr>
          <w:rFonts w:ascii="Times New Roman" w:hAnsi="Times New Roman"/>
          <w:sz w:val="28"/>
        </w:rPr>
        <w:t>认证，带动形成生态农产品区域品牌。</w:t>
      </w:r>
    </w:p>
    <w:p w14:paraId="70635207">
      <w:pPr>
        <w:spacing w:line="560" w:lineRule="exact"/>
        <w:ind w:firstLine="560" w:firstLineChars="200"/>
        <w:rPr>
          <w:rFonts w:ascii="Times New Roman" w:hAnsi="Times New Roman"/>
          <w:sz w:val="28"/>
        </w:rPr>
      </w:pPr>
    </w:p>
    <w:p w14:paraId="2D4ED446">
      <w:pPr>
        <w:spacing w:line="560" w:lineRule="exact"/>
        <w:ind w:firstLine="562" w:firstLineChars="200"/>
        <w:rPr>
          <w:rFonts w:ascii="Times New Roman" w:hAnsi="Times New Roman"/>
          <w:b/>
          <w:sz w:val="28"/>
        </w:rPr>
      </w:pPr>
      <w:r>
        <w:rPr>
          <w:rFonts w:hint="eastAsia" w:ascii="Times New Roman" w:hAnsi="Times New Roman"/>
          <w:b/>
          <w:sz w:val="28"/>
        </w:rPr>
        <w:t>案例范本四（</w:t>
      </w:r>
      <w:r>
        <w:rPr>
          <w:rFonts w:hint="eastAsia" w:ascii="Times New Roman" w:hAnsi="Times New Roman"/>
          <w:b/>
          <w:sz w:val="28"/>
          <w:lang w:eastAsia="zh-CN"/>
        </w:rPr>
        <w:t>人才培养</w:t>
      </w:r>
      <w:r>
        <w:rPr>
          <w:rFonts w:hint="eastAsia" w:ascii="Times New Roman" w:hAnsi="Times New Roman"/>
          <w:b/>
          <w:sz w:val="28"/>
        </w:rPr>
        <w:t>支撑方向）</w:t>
      </w:r>
    </w:p>
    <w:p w14:paraId="4432537A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成果名称：</w:t>
      </w:r>
      <w:r>
        <w:rPr>
          <w:rFonts w:hint="eastAsia" w:ascii="Times New Roman" w:hAnsi="Times New Roman"/>
          <w:b w:val="0"/>
          <w:bCs/>
          <w:sz w:val="28"/>
        </w:rPr>
        <w:t>大型仪器设备操作与创新人才培养体系</w:t>
      </w:r>
    </w:p>
    <w:p w14:paraId="59B94530">
      <w:pPr>
        <w:spacing w:line="560" w:lineRule="exact"/>
        <w:ind w:firstLine="562" w:firstLineChars="200"/>
        <w:rPr>
          <w:rFonts w:ascii="Times New Roman" w:hAnsi="Times New Roman"/>
          <w:b w:val="0"/>
          <w:bCs/>
          <w:sz w:val="28"/>
        </w:rPr>
      </w:pPr>
      <w:r>
        <w:rPr>
          <w:rFonts w:hint="eastAsia" w:ascii="Times New Roman" w:hAnsi="Times New Roman"/>
          <w:b/>
          <w:sz w:val="28"/>
        </w:rPr>
        <w:t>技术贡献：</w:t>
      </w:r>
      <w:r>
        <w:rPr>
          <w:rFonts w:hint="eastAsia" w:ascii="Times New Roman" w:hAnsi="Times New Roman"/>
          <w:b w:val="0"/>
          <w:bCs/>
          <w:sz w:val="28"/>
        </w:rPr>
        <w:t>整合高分辨质谱仪、X射线光电子能谱仪、透射电子显微镜等核心科研仪器资源，开发操作模块和科研导向实验项目。</w:t>
      </w:r>
    </w:p>
    <w:p w14:paraId="33A0226C">
      <w:pPr>
        <w:spacing w:line="560" w:lineRule="exact"/>
        <w:ind w:firstLine="562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b/>
          <w:sz w:val="28"/>
        </w:rPr>
        <w:t>支撑效能：</w:t>
      </w:r>
      <w:r>
        <w:rPr>
          <w:rFonts w:hint="eastAsia" w:ascii="Times New Roman" w:hAnsi="Times New Roman"/>
          <w:b w:val="0"/>
          <w:bCs/>
          <w:sz w:val="28"/>
        </w:rPr>
        <w:t>支撑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6</w:t>
      </w:r>
      <w:r>
        <w:rPr>
          <w:rFonts w:hint="eastAsia" w:ascii="Times New Roman" w:hAnsi="Times New Roman"/>
          <w:b w:val="0"/>
          <w:bCs/>
          <w:sz w:val="28"/>
        </w:rPr>
        <w:t>00余名学生开展科研，发表SCI/EI论文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2</w:t>
      </w:r>
      <w:r>
        <w:rPr>
          <w:rFonts w:hint="eastAsia" w:ascii="Times New Roman" w:hAnsi="Times New Roman"/>
          <w:b w:val="0"/>
          <w:bCs/>
          <w:sz w:val="28"/>
        </w:rPr>
        <w:t>20余篇（TOP期刊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5</w:t>
      </w:r>
      <w:r>
        <w:rPr>
          <w:rFonts w:hint="eastAsia" w:ascii="Times New Roman" w:hAnsi="Times New Roman"/>
          <w:b w:val="0"/>
          <w:bCs/>
          <w:sz w:val="28"/>
        </w:rPr>
        <w:t>8篇），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授权</w:t>
      </w:r>
      <w:r>
        <w:rPr>
          <w:rFonts w:hint="eastAsia" w:ascii="Times New Roman" w:hAnsi="Times New Roman"/>
          <w:b w:val="0"/>
          <w:bCs/>
          <w:sz w:val="28"/>
        </w:rPr>
        <w:t>发明专利65项，完成校级以上项目21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0</w:t>
      </w:r>
      <w:r>
        <w:rPr>
          <w:rFonts w:hint="eastAsia" w:ascii="Times New Roman" w:hAnsi="Times New Roman"/>
          <w:b w:val="0"/>
          <w:bCs/>
          <w:sz w:val="28"/>
        </w:rPr>
        <w:t>余项，相关成果获全国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XXX</w:t>
      </w:r>
      <w:r>
        <w:rPr>
          <w:rFonts w:hint="eastAsia" w:ascii="Times New Roman" w:hAnsi="Times New Roman"/>
          <w:b w:val="0"/>
          <w:bCs/>
          <w:sz w:val="28"/>
        </w:rPr>
        <w:t>创新大赛一等奖</w:t>
      </w:r>
      <w:r>
        <w:rPr>
          <w:rFonts w:hint="eastAsia" w:ascii="Times New Roman" w:hAnsi="Times New Roman"/>
          <w:b w:val="0"/>
          <w:bCs/>
          <w:sz w:val="28"/>
          <w:lang w:eastAsia="zh-CN"/>
        </w:rPr>
        <w:t>、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广西科技成果一等奖</w:t>
      </w:r>
      <w:r>
        <w:rPr>
          <w:rFonts w:hint="eastAsia" w:ascii="Times New Roman" w:hAnsi="Times New Roman"/>
          <w:b w:val="0"/>
          <w:bCs/>
          <w:sz w:val="28"/>
        </w:rPr>
        <w:t>。</w:t>
      </w:r>
    </w:p>
    <w:p w14:paraId="09068FE6">
      <w:pPr>
        <w:spacing w:line="560" w:lineRule="exact"/>
        <w:ind w:firstLine="562" w:firstLineChars="200"/>
      </w:pPr>
      <w:r>
        <w:rPr>
          <w:rFonts w:hint="eastAsia" w:ascii="Times New Roman" w:hAnsi="Times New Roman"/>
          <w:b/>
          <w:sz w:val="28"/>
        </w:rPr>
        <w:t>衍生价值：</w:t>
      </w:r>
      <w:r>
        <w:rPr>
          <w:rFonts w:hint="eastAsia" w:ascii="Times New Roman" w:hAnsi="Times New Roman"/>
          <w:b w:val="0"/>
          <w:bCs/>
          <w:sz w:val="28"/>
        </w:rPr>
        <w:t>培养出X名兼具大型仪器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设备</w:t>
      </w:r>
      <w:r>
        <w:rPr>
          <w:rFonts w:hint="eastAsia" w:ascii="Times New Roman" w:hAnsi="Times New Roman"/>
          <w:b w:val="0"/>
          <w:bCs/>
          <w:sz w:val="28"/>
        </w:rPr>
        <w:t>实操能力与科研创新素养的复合型人才，其中30余人成长为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XXX</w:t>
      </w:r>
      <w:r>
        <w:rPr>
          <w:rFonts w:hint="eastAsia" w:ascii="Times New Roman" w:hAnsi="Times New Roman"/>
          <w:b w:val="0"/>
          <w:bCs/>
          <w:sz w:val="28"/>
        </w:rPr>
        <w:t>企业研发骨干、20余人攻读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XXX</w:t>
      </w:r>
      <w:r>
        <w:rPr>
          <w:rFonts w:hint="eastAsia" w:ascii="Times New Roman" w:hAnsi="Times New Roman"/>
          <w:b w:val="0"/>
          <w:bCs/>
          <w:sz w:val="28"/>
        </w:rPr>
        <w:t>高校博士学位，为区域电子信息、</w:t>
      </w:r>
      <w:r>
        <w:rPr>
          <w:rFonts w:hint="eastAsia" w:ascii="Times New Roman" w:hAnsi="Times New Roman"/>
          <w:b w:val="0"/>
          <w:bCs/>
          <w:sz w:val="28"/>
          <w:lang w:val="en-US" w:eastAsia="zh-CN"/>
        </w:rPr>
        <w:t>人工智能</w:t>
      </w:r>
      <w:r>
        <w:rPr>
          <w:rFonts w:hint="eastAsia" w:ascii="Times New Roman" w:hAnsi="Times New Roman"/>
          <w:b w:val="0"/>
          <w:bCs/>
          <w:sz w:val="28"/>
        </w:rPr>
        <w:t>等产业发展提供了坚实的人才支撑。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86223"/>
    <w:rsid w:val="006F637D"/>
    <w:rsid w:val="00946694"/>
    <w:rsid w:val="00BA661B"/>
    <w:rsid w:val="00E03D25"/>
    <w:rsid w:val="24657643"/>
    <w:rsid w:val="34083809"/>
    <w:rsid w:val="6C3D457B"/>
    <w:rsid w:val="6DC8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1094</Words>
  <Characters>1140</Characters>
  <Lines>9</Lines>
  <Paragraphs>2</Paragraphs>
  <TotalTime>9</TotalTime>
  <ScaleCrop>false</ScaleCrop>
  <LinksUpToDate>false</LinksUpToDate>
  <CharactersWithSpaces>1146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2025-03-25T01:44:00Z</dcterms:created>
  <dc:creator>103</dc:creator>
  <cp:lastModifiedBy>xyaaaa</cp:lastModifiedBy>
  <dcterms:modified xsi:type="dcterms:W3CDTF">2025-10-21T08:09:16Z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C5E89705BAEE48759DDC54B82B4FB28F_13</vt:lpwstr>
  </property>
  <property fmtid="{D5CDD505-2E9C-101B-9397-08002B2CF9AE}" pid="4" name="KSOTemplateDocerSaveRecord">
    <vt:lpwstr>eyJoZGlkIjoiZjhjNDkyYjRiMmIzZmY2N2QzYjg2MGJjMmFkYzY5NGMiLCJ1c2VySWQiOiIxMTc5NDc1NzM2In0=</vt:lpwstr>
  </property>
</Properties>
</file>