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392F0E">
      <w:pP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  <w:t xml:space="preserve">附件1 </w:t>
      </w:r>
    </w:p>
    <w:p w14:paraId="1D3E7EF8">
      <w:pPr>
        <w:pStyle w:val="3"/>
        <w:autoSpaceDE w:val="0"/>
        <w:autoSpaceDN w:val="0"/>
        <w:jc w:val="center"/>
        <w:rPr>
          <w:rFonts w:hint="default" w:ascii="方正小标宋_GBK" w:hAnsi="宋体" w:eastAsia="方正小标宋_GBK" w:cs="宋体"/>
          <w:spacing w:val="-9"/>
          <w:kern w:val="0"/>
          <w:sz w:val="44"/>
          <w:szCs w:val="44"/>
          <w:lang w:val="en-US" w:eastAsia="zh-CN" w:bidi="zh-CN"/>
        </w:rPr>
      </w:pPr>
      <w:r>
        <w:rPr>
          <w:rFonts w:hint="eastAsia" w:ascii="方正小标宋_GBK" w:hAnsi="宋体" w:eastAsia="方正小标宋_GBK" w:cs="宋体"/>
          <w:spacing w:val="-9"/>
          <w:kern w:val="0"/>
          <w:sz w:val="44"/>
          <w:szCs w:val="44"/>
          <w:lang w:val="en-US" w:eastAsia="zh-CN" w:bidi="zh-CN"/>
        </w:rPr>
        <w:t>桂林电子科技大学高能通识课申报指南</w:t>
      </w:r>
    </w:p>
    <w:p w14:paraId="7C49E0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一、通识教育模块分类与内涵</w:t>
      </w:r>
    </w:p>
    <w:p w14:paraId="47E3A613">
      <w:pPr>
        <w:keepNext w:val="0"/>
        <w:keepLines w:val="0"/>
        <w:pageBreakBefore w:val="0"/>
        <w:widowControl w:val="0"/>
        <w:tabs>
          <w:tab w:val="left" w:pos="35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我校通识教育课程体系分为创新精神与创业实践、艺术修养与审美体验、自然</w:t>
      </w:r>
      <w:bookmarkStart w:id="0" w:name="_GoBack"/>
      <w:bookmarkEnd w:id="0"/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科学与技术工程、文史经典与社会科学四大模块。</w:t>
      </w:r>
    </w:p>
    <w:p w14:paraId="2EFC86A1">
      <w:pPr>
        <w:keepNext w:val="0"/>
        <w:keepLines w:val="0"/>
        <w:pageBreakBefore w:val="0"/>
        <w:widowControl w:val="0"/>
        <w:tabs>
          <w:tab w:val="left" w:pos="35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Times New Roman"/>
          <w:b/>
          <w:bCs/>
          <w:sz w:val="32"/>
          <w:szCs w:val="32"/>
          <w:lang w:val="en-US" w:eastAsia="zh-CN"/>
        </w:rPr>
        <w:t>创新精神与创业实践：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主要包含创新理念、创新方法、创新创业素养、创业知识、创业技能等内容，旨在培养学生的创新精神、创新方法、创新能力，以及创业意识、创业技能、创业心理品质和创业能力等基本素质，帮助学生提高双创热情、实干精神和工程意识，最大限度实现自我价值。</w:t>
      </w:r>
    </w:p>
    <w:p w14:paraId="5F50E427">
      <w:pPr>
        <w:keepNext w:val="0"/>
        <w:keepLines w:val="0"/>
        <w:pageBreakBefore w:val="0"/>
        <w:widowControl w:val="0"/>
        <w:tabs>
          <w:tab w:val="left" w:pos="35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Times New Roman"/>
          <w:b/>
          <w:bCs/>
          <w:sz w:val="32"/>
          <w:szCs w:val="32"/>
          <w:lang w:val="en-US" w:eastAsia="zh-CN"/>
        </w:rPr>
        <w:t>艺术修养与审美体验：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课程包括美学和艺术史论类、艺术鉴赏和评论类、艺术体验和实践类等三种类型课程。美学和艺术史论类可开设艺术导论、美学概论、中西方美术史、中西方音乐史、文艺理论等课程；艺术鉴赏和评论类可开设音乐、美术、影视、戏剧戏曲、舞蹈、书法、设计等的鉴赏和评论类课程；艺术体验和实践类可开设艺术相关学科的体验和实践活动类课程，艺术体验和实践活动要尽可能满足学生的不同兴趣和需求。旨在促使学生接受人文精神的熏陶，增强学生的感性鉴赏能力，促进学生对古今中外人文艺术的感知，提升审美情趣、想象力和鉴赏力，始终保持对真善美的追求。</w:t>
      </w:r>
    </w:p>
    <w:p w14:paraId="483FE99F">
      <w:pPr>
        <w:keepNext w:val="0"/>
        <w:keepLines w:val="0"/>
        <w:pageBreakBefore w:val="0"/>
        <w:widowControl w:val="0"/>
        <w:tabs>
          <w:tab w:val="left" w:pos="35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Times New Roman"/>
          <w:b/>
          <w:bCs/>
          <w:sz w:val="32"/>
          <w:szCs w:val="32"/>
          <w:lang w:val="en-US" w:eastAsia="zh-CN"/>
        </w:rPr>
        <w:t>自然科学与技术工程：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主要涵盖数学、物理、化学、生物、信息、天文等自然科学及工程技术领域，通过对不同学科核心知识结构和经典案例的介绍，使学生形成良好的科学史观，了解科技发展动态和趋势，领会科学精神内涵，培养学生的科学精神、科学思维和科学方法，树立独立思考的科学意识，提升独立研究能力。</w:t>
      </w:r>
    </w:p>
    <w:p w14:paraId="38A14C7A">
      <w:pPr>
        <w:keepNext w:val="0"/>
        <w:keepLines w:val="0"/>
        <w:pageBreakBefore w:val="0"/>
        <w:widowControl w:val="0"/>
        <w:tabs>
          <w:tab w:val="left" w:pos="35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hAnsi="仿宋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Times New Roman"/>
          <w:b/>
          <w:bCs/>
          <w:sz w:val="32"/>
          <w:szCs w:val="32"/>
          <w:lang w:val="en-US" w:eastAsia="zh-CN"/>
        </w:rPr>
        <w:t>文史经典与社会科学：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课程包含三种类型。文史经典与文化传承类主要涵盖古今中外优秀文化、经典名著等，旨在通过经典导读与研讨，培养学生人文情怀、语言表达和文学鉴赏能力，引导学生在经济全球化、文化多元化背景下理性认识中华文化，厚植家国情怀。社会科学与与现代社会类主要涵盖经济学、社会学、管理学、心理学、法学、教育学、生命科学等学科领域，使学生能够从经济、政治、法律和社会等角度正确认识我们所处的现代社会，了解不同学科认识现代社会的方法，批判性地反思和处理现代社会面临的问题，把握未来社会的发展走向，培养学生的责任意识、处理问题的能力。哲学智慧与批判性思维类主要涵盖哲学、逻辑学、伦理学等学科领域知识，旨在将学生引入对各类基本哲学问题及其意义的领会和思考之中，通过研读哲学原典，让学生真正进入思想层面，激发学生独立思考能力，帮助学生养成批判性思维习惯，培养学生的哲学思维、思辨能力和批判精神。</w:t>
      </w:r>
    </w:p>
    <w:p w14:paraId="4D67EB86">
      <w:pPr>
        <w:rPr>
          <w:rFonts w:hint="eastAsia" w:ascii="仿宋_GB2312" w:hAnsi="仿宋_GB2312" w:eastAsia="仿宋_GB2312" w:cs="仿宋_GB2312"/>
          <w:b/>
          <w:bCs/>
          <w:sz w:val="36"/>
          <w:szCs w:val="44"/>
          <w:lang w:val="en-US" w:eastAsia="zh-CN"/>
        </w:rPr>
      </w:pPr>
    </w:p>
    <w:p w14:paraId="226195D9">
      <w:pPr>
        <w:rPr>
          <w:rFonts w:hint="eastAsia" w:ascii="仿宋_GB2312" w:hAnsi="仿宋_GB2312" w:eastAsia="仿宋_GB2312" w:cs="仿宋_GB2312"/>
          <w:b/>
          <w:bCs/>
          <w:sz w:val="36"/>
          <w:szCs w:val="44"/>
          <w:lang w:val="en-US" w:eastAsia="zh-CN"/>
        </w:rPr>
      </w:pPr>
    </w:p>
    <w:p w14:paraId="6DC783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 w14:paraId="1B67AE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 w14:paraId="04DF53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二、桂林电子科技大学高能通识课程建设评价标准</w:t>
      </w:r>
    </w:p>
    <w:tbl>
      <w:tblPr>
        <w:tblStyle w:val="6"/>
        <w:tblpPr w:leftFromText="180" w:rightFromText="180" w:vertAnchor="text" w:horzAnchor="page" w:tblpX="1217" w:tblpY="854"/>
        <w:tblOverlap w:val="never"/>
        <w:tblW w:w="97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1254"/>
        <w:gridCol w:w="6276"/>
        <w:gridCol w:w="795"/>
      </w:tblGrid>
      <w:tr w14:paraId="1F523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410" w:type="dxa"/>
            <w:noWrap w:val="0"/>
            <w:vAlign w:val="top"/>
          </w:tcPr>
          <w:p w14:paraId="17B966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32"/>
                <w:vertAlign w:val="baseline"/>
                <w:lang w:val="en-US" w:eastAsia="zh-CN"/>
              </w:rPr>
              <w:t>一级指标</w:t>
            </w:r>
          </w:p>
        </w:tc>
        <w:tc>
          <w:tcPr>
            <w:tcW w:w="1254" w:type="dxa"/>
            <w:noWrap w:val="0"/>
            <w:vAlign w:val="top"/>
          </w:tcPr>
          <w:p w14:paraId="5AAFCC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32"/>
                <w:vertAlign w:val="baseline"/>
                <w:lang w:val="en-US" w:eastAsia="zh-CN"/>
              </w:rPr>
              <w:t>二级指标</w:t>
            </w:r>
          </w:p>
        </w:tc>
        <w:tc>
          <w:tcPr>
            <w:tcW w:w="6276" w:type="dxa"/>
            <w:noWrap w:val="0"/>
            <w:vAlign w:val="top"/>
          </w:tcPr>
          <w:p w14:paraId="24DDD1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32"/>
                <w:vertAlign w:val="baseline"/>
                <w:lang w:val="en-US" w:eastAsia="zh-CN"/>
              </w:rPr>
              <w:t>观测点</w:t>
            </w:r>
          </w:p>
        </w:tc>
        <w:tc>
          <w:tcPr>
            <w:tcW w:w="795" w:type="dxa"/>
            <w:noWrap w:val="0"/>
            <w:vAlign w:val="top"/>
          </w:tcPr>
          <w:p w14:paraId="50E712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32"/>
                <w:vertAlign w:val="baseline"/>
                <w:lang w:val="en-US" w:eastAsia="zh-CN"/>
              </w:rPr>
              <w:t>分值</w:t>
            </w:r>
          </w:p>
        </w:tc>
      </w:tr>
      <w:tr w14:paraId="7D1CE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</w:trPr>
        <w:tc>
          <w:tcPr>
            <w:tcW w:w="1410" w:type="dxa"/>
            <w:noWrap w:val="0"/>
            <w:vAlign w:val="center"/>
          </w:tcPr>
          <w:p w14:paraId="305CE2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课程理念</w:t>
            </w:r>
          </w:p>
        </w:tc>
        <w:tc>
          <w:tcPr>
            <w:tcW w:w="1254" w:type="dxa"/>
            <w:noWrap w:val="0"/>
            <w:vAlign w:val="center"/>
          </w:tcPr>
          <w:p w14:paraId="6C9458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设计理念</w:t>
            </w:r>
          </w:p>
        </w:tc>
        <w:tc>
          <w:tcPr>
            <w:tcW w:w="6276" w:type="dxa"/>
            <w:noWrap w:val="0"/>
            <w:vAlign w:val="center"/>
          </w:tcPr>
          <w:p w14:paraId="08C8E2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对通识课程有科学的认识，设计理念能明确体现“通识”性，在教学目标、教学内容、教学模式的设计上能体现“通识”理念。</w:t>
            </w:r>
          </w:p>
        </w:tc>
        <w:tc>
          <w:tcPr>
            <w:tcW w:w="795" w:type="dxa"/>
            <w:noWrap w:val="0"/>
            <w:vAlign w:val="center"/>
          </w:tcPr>
          <w:p w14:paraId="5BBCE4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 w14:paraId="40304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410" w:type="dxa"/>
            <w:vMerge w:val="restart"/>
            <w:noWrap w:val="0"/>
            <w:vAlign w:val="center"/>
          </w:tcPr>
          <w:p w14:paraId="1F70B5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课程团队</w:t>
            </w:r>
          </w:p>
        </w:tc>
        <w:tc>
          <w:tcPr>
            <w:tcW w:w="1254" w:type="dxa"/>
            <w:noWrap w:val="0"/>
            <w:vAlign w:val="center"/>
          </w:tcPr>
          <w:p w14:paraId="012A2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课程</w:t>
            </w:r>
          </w:p>
          <w:p w14:paraId="727C89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负责人</w:t>
            </w:r>
          </w:p>
        </w:tc>
        <w:tc>
          <w:tcPr>
            <w:tcW w:w="6276" w:type="dxa"/>
            <w:noWrap w:val="0"/>
            <w:vAlign w:val="center"/>
          </w:tcPr>
          <w:p w14:paraId="1387C6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具有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讲师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及以上职称。师德高尚，长期稳定从事通识教育课程教学，积极投身教学改革，教学能力强，具有丰富的课堂教学经验和良好的教学口碑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积极带领课程团队开展课程建设、教学研究及实践。</w:t>
            </w:r>
          </w:p>
        </w:tc>
        <w:tc>
          <w:tcPr>
            <w:tcW w:w="795" w:type="dxa"/>
            <w:noWrap w:val="0"/>
            <w:vAlign w:val="center"/>
          </w:tcPr>
          <w:p w14:paraId="44C2C8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 w14:paraId="0E043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410" w:type="dxa"/>
            <w:vMerge w:val="continue"/>
            <w:noWrap w:val="0"/>
            <w:vAlign w:val="center"/>
          </w:tcPr>
          <w:p w14:paraId="0E8095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231A89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团队成员</w:t>
            </w:r>
          </w:p>
        </w:tc>
        <w:tc>
          <w:tcPr>
            <w:tcW w:w="6276" w:type="dxa"/>
            <w:noWrap w:val="0"/>
            <w:vAlign w:val="center"/>
          </w:tcPr>
          <w:p w14:paraId="2B140B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师德好、责任感强；团队结构合理、团结协作精神好；教学能力强、教学效果好。鼓励构建跨学院、跨学科、跨专业，以及产学研融合的教学团队。</w:t>
            </w:r>
          </w:p>
        </w:tc>
        <w:tc>
          <w:tcPr>
            <w:tcW w:w="795" w:type="dxa"/>
            <w:noWrap w:val="0"/>
            <w:vAlign w:val="center"/>
          </w:tcPr>
          <w:p w14:paraId="0D00D6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0C3EF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restart"/>
            <w:noWrap w:val="0"/>
            <w:vAlign w:val="center"/>
          </w:tcPr>
          <w:p w14:paraId="6D79B0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课程内容</w:t>
            </w:r>
          </w:p>
        </w:tc>
        <w:tc>
          <w:tcPr>
            <w:tcW w:w="1254" w:type="dxa"/>
            <w:noWrap w:val="0"/>
            <w:vAlign w:val="center"/>
          </w:tcPr>
          <w:p w14:paraId="486E59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课程目标</w:t>
            </w:r>
          </w:p>
        </w:tc>
        <w:tc>
          <w:tcPr>
            <w:tcW w:w="6276" w:type="dxa"/>
            <w:noWrap w:val="0"/>
            <w:vAlign w:val="center"/>
          </w:tcPr>
          <w:p w14:paraId="2EC5FD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符合桂电通识教育理念和目标，与通识模块的内涵相契合,注重课程的知识传授、能力培养的同时，能够在价值引领、品格塑造方面产生积极的育人作用；课程目标以及知识、能力和素质培养的分项目标清晰，有明确的实现方法、手段。</w:t>
            </w:r>
          </w:p>
        </w:tc>
        <w:tc>
          <w:tcPr>
            <w:tcW w:w="795" w:type="dxa"/>
            <w:noWrap w:val="0"/>
            <w:vAlign w:val="center"/>
          </w:tcPr>
          <w:p w14:paraId="75064E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 w14:paraId="1A749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noWrap w:val="0"/>
            <w:vAlign w:val="center"/>
          </w:tcPr>
          <w:p w14:paraId="512A55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460749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课程内容</w:t>
            </w:r>
          </w:p>
        </w:tc>
        <w:tc>
          <w:tcPr>
            <w:tcW w:w="6276" w:type="dxa"/>
            <w:noWrap w:val="0"/>
            <w:vAlign w:val="center"/>
          </w:tcPr>
          <w:p w14:paraId="407088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与教学目标相对应，具有一定的深度和广度，有助于目标的达成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体现基本性，有利于学生了解人类文明进程中最基本的知识和方法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体现内在的逻辑关系，理论联系实际、重难点突出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体现整合性，有利于不同学科领域知识的融会和贯通，体现文理渗透、多学科融合、跨学科交叉，以提供学生发现问题、分析问题、解决问题的多元视野和多维角度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具有前沿性、时代性，尽可能反映学科领域的新成果、新信息、新趋势。</w:t>
            </w:r>
          </w:p>
        </w:tc>
        <w:tc>
          <w:tcPr>
            <w:tcW w:w="795" w:type="dxa"/>
            <w:noWrap w:val="0"/>
            <w:vAlign w:val="center"/>
          </w:tcPr>
          <w:p w14:paraId="456447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 w14:paraId="4D8FA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410" w:type="dxa"/>
            <w:vMerge w:val="continue"/>
            <w:noWrap w:val="0"/>
            <w:vAlign w:val="center"/>
          </w:tcPr>
          <w:p w14:paraId="5C9336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071412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课程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思政</w:t>
            </w:r>
          </w:p>
        </w:tc>
        <w:tc>
          <w:tcPr>
            <w:tcW w:w="6276" w:type="dxa"/>
            <w:noWrap w:val="0"/>
            <w:vAlign w:val="center"/>
          </w:tcPr>
          <w:p w14:paraId="565C18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具有明确的课程思政教学目标，在课程内容中能够有机融入课程思政的理念和元素，注重培养学生家国情怀、社会责任、科学精神、职业操守、历史文化等素养，给予学生成长启迪，培养学生通用能力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将课程思政元素充分融入过程考核和结课考核所涵盖的知识、能力与素质中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。</w:t>
            </w:r>
          </w:p>
        </w:tc>
        <w:tc>
          <w:tcPr>
            <w:tcW w:w="795" w:type="dxa"/>
            <w:noWrap w:val="0"/>
            <w:vAlign w:val="center"/>
          </w:tcPr>
          <w:p w14:paraId="51A91D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 w14:paraId="7915D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410" w:type="dxa"/>
            <w:vMerge w:val="continue"/>
            <w:noWrap w:val="0"/>
            <w:vAlign w:val="center"/>
          </w:tcPr>
          <w:p w14:paraId="7EC23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300A19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课程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资源</w:t>
            </w:r>
          </w:p>
        </w:tc>
        <w:tc>
          <w:tcPr>
            <w:tcW w:w="6276" w:type="dxa"/>
            <w:noWrap w:val="0"/>
            <w:vAlign w:val="center"/>
          </w:tcPr>
          <w:p w14:paraId="3DF666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选用符合教育部及学校规定的教材；课件、案例、习题、视频等相关资料丰富，并为学生的研究性学习和自主学习提供参考文献资料。鼓励建设课程网站和制作MOOC视频。</w:t>
            </w:r>
          </w:p>
        </w:tc>
        <w:tc>
          <w:tcPr>
            <w:tcW w:w="795" w:type="dxa"/>
            <w:noWrap w:val="0"/>
            <w:vAlign w:val="center"/>
          </w:tcPr>
          <w:p w14:paraId="46D6FF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 w14:paraId="357AD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1410" w:type="dxa"/>
            <w:vMerge w:val="restart"/>
            <w:noWrap w:val="0"/>
            <w:vAlign w:val="center"/>
          </w:tcPr>
          <w:p w14:paraId="34AE92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教学过程</w:t>
            </w:r>
          </w:p>
        </w:tc>
        <w:tc>
          <w:tcPr>
            <w:tcW w:w="1254" w:type="dxa"/>
            <w:noWrap w:val="0"/>
            <w:vAlign w:val="center"/>
          </w:tcPr>
          <w:p w14:paraId="2F905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教学设计</w:t>
            </w:r>
          </w:p>
        </w:tc>
        <w:tc>
          <w:tcPr>
            <w:tcW w:w="6276" w:type="dxa"/>
            <w:noWrap w:val="0"/>
            <w:vAlign w:val="center"/>
          </w:tcPr>
          <w:p w14:paraId="01476C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遵循学生的认知规律和能力培养规律安排教学内容、设计课程教学单元，科学设计教学环节，合理分配教学时数。</w:t>
            </w:r>
          </w:p>
        </w:tc>
        <w:tc>
          <w:tcPr>
            <w:tcW w:w="795" w:type="dxa"/>
            <w:noWrap w:val="0"/>
            <w:vAlign w:val="center"/>
          </w:tcPr>
          <w:p w14:paraId="1530D9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</w:tr>
      <w:tr w14:paraId="185E1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noWrap w:val="0"/>
            <w:vAlign w:val="center"/>
          </w:tcPr>
          <w:p w14:paraId="3BEDB9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38AF61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教学方法</w:t>
            </w:r>
          </w:p>
        </w:tc>
        <w:tc>
          <w:tcPr>
            <w:tcW w:w="6276" w:type="dxa"/>
            <w:noWrap w:val="0"/>
            <w:vAlign w:val="center"/>
          </w:tcPr>
          <w:p w14:paraId="319B7B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注重教学方法的改革，强调以人为本、因材施教、启发心智。提倡阅读经典、深度讨论、思辨分析、创新实践，训练多学科的思维方式、研究方法以及解决复杂问题的综合能力和高级思维的培育。充分利用现代教育技术和高水平MOOC资源，开展混合式教学，提高学生学习实效。</w:t>
            </w:r>
          </w:p>
        </w:tc>
        <w:tc>
          <w:tcPr>
            <w:tcW w:w="795" w:type="dxa"/>
            <w:noWrap w:val="0"/>
            <w:vAlign w:val="center"/>
          </w:tcPr>
          <w:p w14:paraId="1A3FAD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</w:tr>
      <w:tr w14:paraId="769C4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1410" w:type="dxa"/>
            <w:vMerge w:val="continue"/>
            <w:noWrap w:val="0"/>
            <w:vAlign w:val="center"/>
          </w:tcPr>
          <w:p w14:paraId="56E4DC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730979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考核方式</w:t>
            </w:r>
          </w:p>
        </w:tc>
        <w:tc>
          <w:tcPr>
            <w:tcW w:w="6276" w:type="dxa"/>
            <w:noWrap w:val="0"/>
            <w:vAlign w:val="center"/>
          </w:tcPr>
          <w:p w14:paraId="5F19CF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根据课程内容和学生特点，制定详细合理的考核方式和实施程序，注重学生学习过程和学习体验，形成性评价方案设计合理，实施全过程考核与非标准答案考试。</w:t>
            </w:r>
          </w:p>
        </w:tc>
        <w:tc>
          <w:tcPr>
            <w:tcW w:w="795" w:type="dxa"/>
            <w:noWrap w:val="0"/>
            <w:vAlign w:val="center"/>
          </w:tcPr>
          <w:p w14:paraId="342A40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 w14:paraId="4F5F4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restart"/>
            <w:noWrap w:val="0"/>
            <w:vAlign w:val="center"/>
          </w:tcPr>
          <w:p w14:paraId="4FEDE8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课程评价</w:t>
            </w:r>
          </w:p>
          <w:p w14:paraId="4C0FC2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1827F3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学生评教</w:t>
            </w:r>
          </w:p>
        </w:tc>
        <w:tc>
          <w:tcPr>
            <w:tcW w:w="6276" w:type="dxa"/>
            <w:noWrap w:val="0"/>
            <w:vAlign w:val="center"/>
          </w:tcPr>
          <w:p w14:paraId="350563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学生对课堂教学的满意度，含在课堂上参与度、认可度、满意度、学习获得感均较高，平均分在90分以上。</w:t>
            </w:r>
          </w:p>
        </w:tc>
        <w:tc>
          <w:tcPr>
            <w:tcW w:w="795" w:type="dxa"/>
            <w:noWrap w:val="0"/>
            <w:vAlign w:val="center"/>
          </w:tcPr>
          <w:p w14:paraId="2220C622">
            <w:pPr>
              <w:keepNext w:val="0"/>
              <w:keepLines w:val="0"/>
              <w:pageBreakBefore w:val="0"/>
              <w:widowControl w:val="0"/>
              <w:tabs>
                <w:tab w:val="center" w:pos="349"/>
                <w:tab w:val="left" w:pos="4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20" w:firstLineChars="100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 w14:paraId="45A8C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410" w:type="dxa"/>
            <w:vMerge w:val="continue"/>
            <w:noWrap w:val="0"/>
            <w:vAlign w:val="center"/>
          </w:tcPr>
          <w:p w14:paraId="0251FE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2FDFAC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督导评教</w:t>
            </w:r>
          </w:p>
        </w:tc>
        <w:tc>
          <w:tcPr>
            <w:tcW w:w="6276" w:type="dxa"/>
            <w:noWrap w:val="0"/>
            <w:vAlign w:val="center"/>
          </w:tcPr>
          <w:p w14:paraId="09C092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学生课堂活跃度高，课堂教学质量评估达到良好以上水平。</w:t>
            </w:r>
          </w:p>
        </w:tc>
        <w:tc>
          <w:tcPr>
            <w:tcW w:w="795" w:type="dxa"/>
            <w:noWrap w:val="0"/>
            <w:vAlign w:val="center"/>
          </w:tcPr>
          <w:p w14:paraId="22F921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 w14:paraId="6B94A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410" w:type="dxa"/>
            <w:vMerge w:val="restart"/>
            <w:noWrap w:val="0"/>
            <w:vAlign w:val="center"/>
          </w:tcPr>
          <w:p w14:paraId="3A867D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课程特色与后续建设计划</w:t>
            </w:r>
          </w:p>
        </w:tc>
        <w:tc>
          <w:tcPr>
            <w:tcW w:w="1254" w:type="dxa"/>
            <w:noWrap w:val="0"/>
            <w:vAlign w:val="center"/>
          </w:tcPr>
          <w:p w14:paraId="527F7A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课程特色</w:t>
            </w:r>
          </w:p>
        </w:tc>
        <w:tc>
          <w:tcPr>
            <w:tcW w:w="6276" w:type="dxa"/>
            <w:noWrap w:val="0"/>
            <w:vAlign w:val="center"/>
          </w:tcPr>
          <w:p w14:paraId="6AC2E6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课程高度契合通识教育理念且特色鲜明，与同类课程相比具有明显的特色和优势，具有建设的必要性。</w:t>
            </w:r>
          </w:p>
        </w:tc>
        <w:tc>
          <w:tcPr>
            <w:tcW w:w="795" w:type="dxa"/>
            <w:noWrap w:val="0"/>
            <w:vAlign w:val="center"/>
          </w:tcPr>
          <w:p w14:paraId="64C115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 w14:paraId="7C4D5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410" w:type="dxa"/>
            <w:vMerge w:val="continue"/>
            <w:noWrap w:val="0"/>
            <w:vAlign w:val="center"/>
          </w:tcPr>
          <w:p w14:paraId="6DF2C8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41A781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后续建设计划</w:t>
            </w:r>
          </w:p>
        </w:tc>
        <w:tc>
          <w:tcPr>
            <w:tcW w:w="6276" w:type="dxa"/>
            <w:noWrap w:val="0"/>
            <w:vAlign w:val="center"/>
          </w:tcPr>
          <w:p w14:paraId="77C170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有进一步提升课程质量的设想和措施，时间规划合理，可行。</w:t>
            </w:r>
          </w:p>
        </w:tc>
        <w:tc>
          <w:tcPr>
            <w:tcW w:w="795" w:type="dxa"/>
            <w:noWrap w:val="0"/>
            <w:vAlign w:val="center"/>
          </w:tcPr>
          <w:p w14:paraId="658065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 w14:paraId="4168A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940" w:type="dxa"/>
            <w:gridSpan w:val="3"/>
            <w:noWrap w:val="0"/>
            <w:vAlign w:val="center"/>
          </w:tcPr>
          <w:p w14:paraId="15067F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  计</w:t>
            </w:r>
          </w:p>
        </w:tc>
        <w:tc>
          <w:tcPr>
            <w:tcW w:w="795" w:type="dxa"/>
            <w:noWrap w:val="0"/>
            <w:vAlign w:val="center"/>
          </w:tcPr>
          <w:p w14:paraId="7E5CDA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instrText xml:space="preserve"> = sum(D2:D15) \* MERGEFORMAT </w:instrTex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end"/>
            </w:r>
          </w:p>
        </w:tc>
      </w:tr>
    </w:tbl>
    <w:p w14:paraId="58CCC3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仿宋_GB2312" w:hAnsi="仿宋_GB2312" w:eastAsia="仿宋_GB2312" w:cs="仿宋_GB2312"/>
          <w:b/>
          <w:bCs/>
          <w:sz w:val="36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A0A82C6-8C59-4E78-924C-AE911F6BBA3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47E169F2-0AEE-414F-93C4-60D7BBD8ED33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E25CA12F-2C1B-4543-ACD7-ADE6B2CDCAD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97FD8579-3B4C-4715-A2F4-D731B8C3F429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57B7FBFE-BC81-4F73-B789-BEFF17F765C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3ZTBkMDU1NGEzNGYzNDQ5NmYzZGM3NzI4ODZhZGQifQ=="/>
  </w:docVars>
  <w:rsids>
    <w:rsidRoot w:val="17316E51"/>
    <w:rsid w:val="0087112A"/>
    <w:rsid w:val="03D06ACE"/>
    <w:rsid w:val="076369A2"/>
    <w:rsid w:val="08D66DA8"/>
    <w:rsid w:val="0B4E5BBB"/>
    <w:rsid w:val="0BB02112"/>
    <w:rsid w:val="0DF90D2A"/>
    <w:rsid w:val="13D053C0"/>
    <w:rsid w:val="17316E51"/>
    <w:rsid w:val="1B3A5814"/>
    <w:rsid w:val="1BA31C66"/>
    <w:rsid w:val="1F802237"/>
    <w:rsid w:val="200563F1"/>
    <w:rsid w:val="211F1734"/>
    <w:rsid w:val="25B12B88"/>
    <w:rsid w:val="26CC7A55"/>
    <w:rsid w:val="2C722365"/>
    <w:rsid w:val="2D5B282A"/>
    <w:rsid w:val="35E52F26"/>
    <w:rsid w:val="38545D10"/>
    <w:rsid w:val="3E287A22"/>
    <w:rsid w:val="41E915B7"/>
    <w:rsid w:val="463B406B"/>
    <w:rsid w:val="48C7608A"/>
    <w:rsid w:val="49AF57CB"/>
    <w:rsid w:val="4C1B27B1"/>
    <w:rsid w:val="4D057979"/>
    <w:rsid w:val="513F690C"/>
    <w:rsid w:val="517C610B"/>
    <w:rsid w:val="54A83213"/>
    <w:rsid w:val="54FE72D7"/>
    <w:rsid w:val="55CB2017"/>
    <w:rsid w:val="57454D4A"/>
    <w:rsid w:val="574F5BC8"/>
    <w:rsid w:val="579730CB"/>
    <w:rsid w:val="5DD850BE"/>
    <w:rsid w:val="60931920"/>
    <w:rsid w:val="64B91ABD"/>
    <w:rsid w:val="66A64AD2"/>
    <w:rsid w:val="689722E6"/>
    <w:rsid w:val="6BD55EFB"/>
    <w:rsid w:val="6D8343C6"/>
    <w:rsid w:val="71080CE8"/>
    <w:rsid w:val="77E617D9"/>
    <w:rsid w:val="7B8A691F"/>
    <w:rsid w:val="7F4C28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3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32"/>
      <w:szCs w:val="32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2107</Words>
  <Characters>2119</Characters>
  <Lines>0</Lines>
  <Paragraphs>0</Paragraphs>
  <TotalTime>177</TotalTime>
  <ScaleCrop>false</ScaleCrop>
  <LinksUpToDate>false</LinksUpToDate>
  <CharactersWithSpaces>2120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2022-11-22T02:15:00Z</dcterms:created>
  <dc:creator>Shoka</dc:creator>
  <cp:lastModifiedBy>Shoka</cp:lastModifiedBy>
  <dcterms:modified xsi:type="dcterms:W3CDTF">2026-04-08T06:56:19Z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6EBBD3B32E4841A29C027FCD7A0694FA_13</vt:lpwstr>
  </property>
</Properties>
</file>