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9EDE35">
      <w:pPr>
        <w:pStyle w:val="2"/>
        <w:spacing w:before="156" w:after="0" w:line="360" w:lineRule="auto"/>
        <w:jc w:val="center"/>
        <w:rPr>
          <w:rFonts w:hint="eastAsia" w:ascii="黑体" w:eastAsia="黑体"/>
          <w:sz w:val="32"/>
          <w:szCs w:val="32"/>
        </w:rPr>
      </w:pPr>
      <w:r>
        <w:rPr>
          <w:rFonts w:hint="eastAsia"/>
          <w:color w:val="000000"/>
          <w:sz w:val="28"/>
          <w:szCs w:val="28"/>
        </w:rPr>
        <w:t>采购需求表</w:t>
      </w:r>
    </w:p>
    <w:p w14:paraId="27000F16">
      <w:pPr>
        <w:snapToGrid w:val="0"/>
        <w:spacing w:line="320" w:lineRule="exact"/>
        <w:ind w:firstLine="360" w:firstLineChars="150"/>
        <w:rPr>
          <w:rFonts w:hint="eastAsia" w:ascii="黑体" w:hAnsi="宋体" w:eastAsia="黑体"/>
          <w:color w:val="000000"/>
          <w:sz w:val="24"/>
        </w:rPr>
      </w:pPr>
      <w:r>
        <w:rPr>
          <w:rFonts w:hint="eastAsia" w:ascii="黑体" w:hAnsi="宋体" w:eastAsia="黑体"/>
          <w:color w:val="000000"/>
          <w:sz w:val="24"/>
        </w:rPr>
        <w:t>：</w:t>
      </w:r>
    </w:p>
    <w:tbl>
      <w:tblPr>
        <w:tblStyle w:val="9"/>
        <w:tblW w:w="10440" w:type="dxa"/>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244"/>
        <w:gridCol w:w="720"/>
        <w:gridCol w:w="900"/>
        <w:gridCol w:w="1426"/>
        <w:gridCol w:w="5414"/>
      </w:tblGrid>
      <w:tr w14:paraId="25DB4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0440" w:type="dxa"/>
            <w:gridSpan w:val="6"/>
            <w:tcBorders>
              <w:top w:val="single" w:color="auto" w:sz="4" w:space="0"/>
              <w:left w:val="single" w:color="auto" w:sz="4" w:space="0"/>
              <w:bottom w:val="single" w:color="auto" w:sz="4" w:space="0"/>
              <w:right w:val="single" w:color="auto" w:sz="4" w:space="0"/>
            </w:tcBorders>
            <w:vAlign w:val="center"/>
          </w:tcPr>
          <w:p w14:paraId="2FC9795A">
            <w:pPr>
              <w:snapToGrid w:val="0"/>
              <w:spacing w:line="320" w:lineRule="exact"/>
              <w:rPr>
                <w:rFonts w:hint="eastAsia" w:hAnsi="宋体"/>
              </w:rPr>
            </w:pPr>
            <w:r>
              <w:rPr>
                <w:rFonts w:hint="eastAsia" w:ascii="黑体" w:hAnsi="宋体" w:eastAsia="黑体"/>
                <w:color w:val="000000"/>
                <w:sz w:val="24"/>
              </w:rPr>
              <w:t>一、项目要求及技术需求</w:t>
            </w:r>
          </w:p>
        </w:tc>
      </w:tr>
      <w:tr w14:paraId="1FD9B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10440" w:type="dxa"/>
            <w:gridSpan w:val="6"/>
            <w:tcBorders>
              <w:top w:val="single" w:color="auto" w:sz="4" w:space="0"/>
              <w:left w:val="single" w:color="auto" w:sz="4" w:space="0"/>
              <w:bottom w:val="single" w:color="auto" w:sz="4" w:space="0"/>
              <w:right w:val="single" w:color="auto" w:sz="4" w:space="0"/>
            </w:tcBorders>
            <w:vAlign w:val="center"/>
          </w:tcPr>
          <w:p w14:paraId="6532D5FF">
            <w:pPr>
              <w:snapToGrid w:val="0"/>
              <w:spacing w:line="320" w:lineRule="exact"/>
              <w:rPr>
                <w:rFonts w:hint="eastAsia" w:ascii="黑体" w:hAnsi="宋体" w:eastAsia="黑体"/>
                <w:b/>
                <w:color w:val="000000"/>
                <w:sz w:val="24"/>
              </w:rPr>
            </w:pPr>
            <w:r>
              <w:rPr>
                <w:rFonts w:hint="eastAsia" w:ascii="宋体" w:hAnsi="宋体"/>
                <w:b/>
                <w:color w:val="000000"/>
                <w:szCs w:val="21"/>
              </w:rPr>
              <w:t>用途:</w:t>
            </w:r>
          </w:p>
        </w:tc>
      </w:tr>
      <w:tr w14:paraId="7E2B7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736" w:type="dxa"/>
            <w:tcBorders>
              <w:top w:val="single" w:color="auto" w:sz="4" w:space="0"/>
              <w:left w:val="single" w:color="auto" w:sz="4" w:space="0"/>
              <w:bottom w:val="single" w:color="auto" w:sz="4" w:space="0"/>
              <w:right w:val="single" w:color="auto" w:sz="4" w:space="0"/>
            </w:tcBorders>
            <w:vAlign w:val="center"/>
          </w:tcPr>
          <w:p w14:paraId="7C2B6D4A">
            <w:pPr>
              <w:snapToGrid w:val="0"/>
              <w:spacing w:line="320" w:lineRule="exact"/>
              <w:jc w:val="center"/>
              <w:rPr>
                <w:rFonts w:ascii="宋体" w:hAnsi="宋体"/>
                <w:b/>
                <w:color w:val="000000"/>
                <w:szCs w:val="21"/>
              </w:rPr>
            </w:pPr>
            <w:r>
              <w:rPr>
                <w:rFonts w:hint="eastAsia" w:ascii="宋体" w:hAnsi="宋体"/>
                <w:b/>
                <w:color w:val="000000"/>
                <w:szCs w:val="21"/>
              </w:rPr>
              <w:t>项号</w:t>
            </w:r>
          </w:p>
        </w:tc>
        <w:tc>
          <w:tcPr>
            <w:tcW w:w="1964" w:type="dxa"/>
            <w:gridSpan w:val="2"/>
            <w:tcBorders>
              <w:top w:val="single" w:color="auto" w:sz="4" w:space="0"/>
              <w:left w:val="single" w:color="auto" w:sz="4" w:space="0"/>
              <w:bottom w:val="single" w:color="auto" w:sz="4" w:space="0"/>
              <w:right w:val="single" w:color="auto" w:sz="4" w:space="0"/>
            </w:tcBorders>
            <w:vAlign w:val="center"/>
          </w:tcPr>
          <w:p w14:paraId="3193DA44">
            <w:pPr>
              <w:snapToGrid w:val="0"/>
              <w:spacing w:line="320" w:lineRule="exact"/>
              <w:jc w:val="center"/>
              <w:rPr>
                <w:rFonts w:ascii="宋体" w:hAnsi="宋体"/>
                <w:b/>
                <w:color w:val="000000"/>
                <w:szCs w:val="21"/>
              </w:rPr>
            </w:pPr>
            <w:r>
              <w:rPr>
                <w:rFonts w:hint="eastAsia" w:ascii="宋体" w:hAnsi="宋体"/>
                <w:b/>
                <w:color w:val="000000"/>
                <w:szCs w:val="21"/>
              </w:rPr>
              <w:t>采购内容</w:t>
            </w:r>
          </w:p>
        </w:tc>
        <w:tc>
          <w:tcPr>
            <w:tcW w:w="900" w:type="dxa"/>
            <w:tcBorders>
              <w:top w:val="single" w:color="auto" w:sz="4" w:space="0"/>
              <w:left w:val="single" w:color="auto" w:sz="4" w:space="0"/>
              <w:bottom w:val="single" w:color="auto" w:sz="4" w:space="0"/>
              <w:right w:val="single" w:color="auto" w:sz="4" w:space="0"/>
            </w:tcBorders>
            <w:vAlign w:val="center"/>
          </w:tcPr>
          <w:p w14:paraId="0512BAD6">
            <w:pPr>
              <w:snapToGrid w:val="0"/>
              <w:spacing w:line="320" w:lineRule="exact"/>
              <w:jc w:val="center"/>
              <w:rPr>
                <w:rFonts w:ascii="宋体" w:hAnsi="宋体"/>
                <w:b/>
                <w:color w:val="000000"/>
                <w:szCs w:val="21"/>
              </w:rPr>
            </w:pPr>
            <w:r>
              <w:rPr>
                <w:rFonts w:hint="eastAsia" w:ascii="宋体" w:hAnsi="宋体"/>
                <w:b/>
                <w:color w:val="000000"/>
                <w:szCs w:val="21"/>
              </w:rPr>
              <w:t>单位及数量</w:t>
            </w:r>
          </w:p>
        </w:tc>
        <w:tc>
          <w:tcPr>
            <w:tcW w:w="1426" w:type="dxa"/>
            <w:tcBorders>
              <w:top w:val="single" w:color="auto" w:sz="4" w:space="0"/>
              <w:left w:val="single" w:color="auto" w:sz="4" w:space="0"/>
              <w:bottom w:val="single" w:color="auto" w:sz="4" w:space="0"/>
              <w:right w:val="single" w:color="auto" w:sz="4" w:space="0"/>
            </w:tcBorders>
            <w:vAlign w:val="center"/>
          </w:tcPr>
          <w:p w14:paraId="1525925C">
            <w:pPr>
              <w:snapToGrid w:val="0"/>
              <w:spacing w:line="320" w:lineRule="exact"/>
              <w:jc w:val="center"/>
              <w:rPr>
                <w:rFonts w:ascii="宋体" w:hAnsi="宋体"/>
                <w:b/>
                <w:color w:val="000000"/>
                <w:szCs w:val="21"/>
              </w:rPr>
            </w:pPr>
            <w:r>
              <w:rPr>
                <w:rFonts w:hint="eastAsia" w:ascii="宋体" w:hAnsi="宋体"/>
                <w:b/>
                <w:color w:val="000000"/>
                <w:szCs w:val="21"/>
              </w:rPr>
              <w:t>参考规格及型号</w:t>
            </w:r>
          </w:p>
        </w:tc>
        <w:tc>
          <w:tcPr>
            <w:tcW w:w="5414" w:type="dxa"/>
            <w:tcBorders>
              <w:top w:val="single" w:color="auto" w:sz="4" w:space="0"/>
              <w:left w:val="single" w:color="auto" w:sz="4" w:space="0"/>
              <w:bottom w:val="single" w:color="auto" w:sz="4" w:space="0"/>
              <w:right w:val="single" w:color="auto" w:sz="4" w:space="0"/>
            </w:tcBorders>
            <w:vAlign w:val="center"/>
          </w:tcPr>
          <w:p w14:paraId="4A65ABFF">
            <w:pPr>
              <w:snapToGrid w:val="0"/>
              <w:spacing w:line="320" w:lineRule="exact"/>
              <w:jc w:val="center"/>
              <w:rPr>
                <w:rFonts w:ascii="宋体" w:hAnsi="宋体"/>
                <w:b/>
                <w:color w:val="000000"/>
                <w:szCs w:val="21"/>
              </w:rPr>
            </w:pPr>
            <w:r>
              <w:rPr>
                <w:rFonts w:hint="eastAsia" w:ascii="宋体" w:hAnsi="宋体"/>
                <w:b/>
                <w:color w:val="000000"/>
                <w:szCs w:val="21"/>
              </w:rPr>
              <w:t>技术需求</w:t>
            </w:r>
          </w:p>
        </w:tc>
      </w:tr>
      <w:tr w14:paraId="645EF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5" w:hRule="atLeast"/>
        </w:trPr>
        <w:tc>
          <w:tcPr>
            <w:tcW w:w="736" w:type="dxa"/>
            <w:tcBorders>
              <w:top w:val="single" w:color="auto" w:sz="4" w:space="0"/>
              <w:left w:val="single" w:color="auto" w:sz="4" w:space="0"/>
              <w:bottom w:val="single" w:color="auto" w:sz="4" w:space="0"/>
              <w:right w:val="single" w:color="auto" w:sz="4" w:space="0"/>
            </w:tcBorders>
            <w:vAlign w:val="center"/>
          </w:tcPr>
          <w:p w14:paraId="43000BBD">
            <w:pPr>
              <w:snapToGrid w:val="0"/>
              <w:spacing w:line="320" w:lineRule="exact"/>
              <w:jc w:val="center"/>
              <w:rPr>
                <w:rFonts w:ascii="宋体" w:hAnsi="宋体"/>
                <w:color w:val="000000"/>
                <w:szCs w:val="21"/>
              </w:rPr>
            </w:pPr>
            <w:r>
              <w:rPr>
                <w:rFonts w:hint="eastAsia" w:ascii="宋体" w:hAnsi="宋体"/>
                <w:color w:val="000000"/>
                <w:szCs w:val="21"/>
              </w:rPr>
              <w:t>1</w:t>
            </w:r>
          </w:p>
        </w:tc>
        <w:tc>
          <w:tcPr>
            <w:tcW w:w="1964" w:type="dxa"/>
            <w:gridSpan w:val="2"/>
            <w:tcBorders>
              <w:top w:val="single" w:color="auto" w:sz="4" w:space="0"/>
              <w:left w:val="single" w:color="auto" w:sz="4" w:space="0"/>
              <w:bottom w:val="single" w:color="auto" w:sz="4" w:space="0"/>
              <w:right w:val="single" w:color="auto" w:sz="4" w:space="0"/>
            </w:tcBorders>
            <w:vAlign w:val="center"/>
          </w:tcPr>
          <w:p w14:paraId="7856DA94">
            <w:pPr>
              <w:bidi w:val="0"/>
              <w:jc w:val="center"/>
              <w:rPr>
                <w:rFonts w:ascii="宋体" w:hAnsi="宋体"/>
                <w:color w:val="000000"/>
                <w:szCs w:val="21"/>
              </w:rPr>
            </w:pPr>
            <w:r>
              <w:rPr>
                <w:rFonts w:hint="eastAsia"/>
              </w:rPr>
              <w:t>出口网关</w:t>
            </w:r>
          </w:p>
        </w:tc>
        <w:tc>
          <w:tcPr>
            <w:tcW w:w="900" w:type="dxa"/>
            <w:tcBorders>
              <w:top w:val="single" w:color="auto" w:sz="4" w:space="0"/>
              <w:left w:val="single" w:color="auto" w:sz="4" w:space="0"/>
              <w:bottom w:val="single" w:color="auto" w:sz="4" w:space="0"/>
              <w:right w:val="single" w:color="auto" w:sz="4" w:space="0"/>
            </w:tcBorders>
            <w:vAlign w:val="center"/>
          </w:tcPr>
          <w:p w14:paraId="532E4309">
            <w:pPr>
              <w:bidi w:val="0"/>
              <w:jc w:val="center"/>
              <w:rPr>
                <w:rFonts w:hint="eastAsia" w:eastAsia="宋体"/>
                <w:kern w:val="2"/>
                <w:sz w:val="21"/>
                <w:szCs w:val="21"/>
                <w:lang w:val="en-US" w:eastAsia="zh-CN" w:bidi="ar-SA"/>
              </w:rPr>
            </w:pPr>
            <w:r>
              <w:t>1</w:t>
            </w:r>
          </w:p>
        </w:tc>
        <w:tc>
          <w:tcPr>
            <w:tcW w:w="1426" w:type="dxa"/>
            <w:tcBorders>
              <w:top w:val="single" w:color="auto" w:sz="4" w:space="0"/>
              <w:left w:val="single" w:color="auto" w:sz="4" w:space="0"/>
              <w:bottom w:val="single" w:color="auto" w:sz="4" w:space="0"/>
              <w:right w:val="single" w:color="auto" w:sz="4" w:space="0"/>
            </w:tcBorders>
            <w:vAlign w:val="center"/>
          </w:tcPr>
          <w:p w14:paraId="1864A9B0">
            <w:pPr>
              <w:snapToGrid w:val="0"/>
              <w:spacing w:line="320" w:lineRule="exact"/>
              <w:jc w:val="center"/>
              <w:rPr>
                <w:rFonts w:hAnsi="宋体"/>
                <w:szCs w:val="21"/>
              </w:rPr>
            </w:pPr>
            <w:r>
              <w:rPr>
                <w:rFonts w:hint="eastAsia" w:hAnsi="宋体"/>
                <w:szCs w:val="21"/>
              </w:rPr>
              <w:t>Panabit AX10K</w:t>
            </w:r>
          </w:p>
        </w:tc>
        <w:tc>
          <w:tcPr>
            <w:tcW w:w="5414" w:type="dxa"/>
            <w:tcBorders>
              <w:top w:val="single" w:color="auto" w:sz="4" w:space="0"/>
              <w:left w:val="single" w:color="auto" w:sz="4" w:space="0"/>
              <w:bottom w:val="single" w:color="auto" w:sz="4" w:space="0"/>
              <w:right w:val="single" w:color="auto" w:sz="4" w:space="0"/>
            </w:tcBorders>
            <w:vAlign w:val="center"/>
          </w:tcPr>
          <w:p w14:paraId="6BDD6E1E">
            <w:pPr>
              <w:snapToGrid w:val="0"/>
              <w:spacing w:line="320" w:lineRule="exact"/>
              <w:jc w:val="left"/>
              <w:rPr>
                <w:rFonts w:hint="eastAsia" w:hAnsi="宋体"/>
                <w:szCs w:val="21"/>
              </w:rPr>
            </w:pPr>
            <w:r>
              <w:rPr>
                <w:rFonts w:hint="eastAsia" w:hAnsi="宋体"/>
                <w:szCs w:val="21"/>
              </w:rPr>
              <w:t>性能参数：</w:t>
            </w:r>
          </w:p>
          <w:p w14:paraId="12ACBCF0">
            <w:pPr>
              <w:snapToGrid w:val="0"/>
              <w:spacing w:line="320" w:lineRule="exact"/>
              <w:jc w:val="left"/>
              <w:rPr>
                <w:rFonts w:hint="eastAsia" w:hAnsi="宋体"/>
                <w:szCs w:val="21"/>
              </w:rPr>
            </w:pPr>
            <w:r>
              <w:rPr>
                <w:rFonts w:hint="eastAsia" w:hAnsi="宋体"/>
                <w:szCs w:val="21"/>
              </w:rPr>
              <w:t>1、吞吐量≥10Gbps。</w:t>
            </w:r>
          </w:p>
          <w:p w14:paraId="4BC97895">
            <w:pPr>
              <w:snapToGrid w:val="0"/>
              <w:spacing w:line="320" w:lineRule="exact"/>
              <w:jc w:val="left"/>
              <w:rPr>
                <w:rFonts w:hint="eastAsia" w:hAnsi="宋体"/>
                <w:szCs w:val="21"/>
              </w:rPr>
            </w:pPr>
            <w:r>
              <w:rPr>
                <w:rFonts w:hint="eastAsia" w:hAnsi="宋体"/>
                <w:szCs w:val="21"/>
              </w:rPr>
              <w:t>2、★并发连接数≥33万，每秒新建会话数≥20万/秒，配置IP授权≥3500。</w:t>
            </w:r>
          </w:p>
          <w:p w14:paraId="37AECB27">
            <w:pPr>
              <w:snapToGrid w:val="0"/>
              <w:spacing w:line="320" w:lineRule="exact"/>
              <w:jc w:val="left"/>
              <w:rPr>
                <w:rFonts w:hint="eastAsia" w:hAnsi="宋体"/>
                <w:szCs w:val="21"/>
              </w:rPr>
            </w:pPr>
            <w:r>
              <w:rPr>
                <w:rFonts w:hint="eastAsia" w:hAnsi="宋体"/>
                <w:szCs w:val="21"/>
              </w:rPr>
              <w:t>3、物理接口：4个万兆光口、8个千兆电口、8个千兆光口。</w:t>
            </w:r>
          </w:p>
          <w:p w14:paraId="1D8030D7">
            <w:pPr>
              <w:snapToGrid w:val="0"/>
              <w:spacing w:line="320" w:lineRule="exact"/>
              <w:jc w:val="left"/>
              <w:rPr>
                <w:rFonts w:hint="eastAsia" w:hAnsi="宋体"/>
                <w:szCs w:val="21"/>
              </w:rPr>
            </w:pPr>
            <w:r>
              <w:rPr>
                <w:rFonts w:hint="eastAsia" w:hAnsi="宋体"/>
                <w:szCs w:val="21"/>
              </w:rPr>
              <w:t>工作模式：支持透明网桥模式、路由模式、NAT模式、旁路分析模式。</w:t>
            </w:r>
          </w:p>
          <w:p w14:paraId="1F390B95">
            <w:pPr>
              <w:snapToGrid w:val="0"/>
              <w:spacing w:line="320" w:lineRule="exact"/>
              <w:jc w:val="left"/>
              <w:rPr>
                <w:rFonts w:hint="eastAsia" w:hAnsi="宋体"/>
                <w:szCs w:val="21"/>
              </w:rPr>
            </w:pPr>
            <w:r>
              <w:rPr>
                <w:rFonts w:hint="eastAsia" w:hAnsi="宋体"/>
                <w:szCs w:val="21"/>
              </w:rPr>
              <w:t>★跨境协议及VPN应用识别：支持60种以上跨境协议及VPN应用的识别，如VZray、DroidVPN、Hola、Wireguard、Frp、netcat、Unlimited、SSR等，提供设备配置界面截图证明。</w:t>
            </w:r>
          </w:p>
          <w:p w14:paraId="1176F389">
            <w:pPr>
              <w:snapToGrid w:val="0"/>
              <w:spacing w:line="320" w:lineRule="exact"/>
              <w:jc w:val="left"/>
              <w:rPr>
                <w:rFonts w:hint="eastAsia" w:hAnsi="宋体"/>
                <w:szCs w:val="21"/>
              </w:rPr>
            </w:pPr>
            <w:r>
              <w:rPr>
                <w:rFonts w:hint="eastAsia" w:hAnsi="宋体"/>
                <w:szCs w:val="21"/>
              </w:rPr>
              <w:t>应用协议识别：</w:t>
            </w:r>
          </w:p>
          <w:p w14:paraId="17794877">
            <w:pPr>
              <w:snapToGrid w:val="0"/>
              <w:spacing w:line="320" w:lineRule="exact"/>
              <w:jc w:val="left"/>
              <w:rPr>
                <w:rFonts w:hint="eastAsia" w:hAnsi="宋体"/>
                <w:szCs w:val="21"/>
              </w:rPr>
            </w:pPr>
            <w:r>
              <w:rPr>
                <w:rFonts w:hint="eastAsia" w:hAnsi="宋体"/>
                <w:szCs w:val="21"/>
              </w:rPr>
              <w:t>1、支持对2～7层流量的识别能力，特别是针对第7层的应用识别能力，能够识别主要应用协议，并逐级细分P2P下载、网络视频、网络电话、游戏、HTTP协议的子类别和具体客户端名称，比如HTTP协议---Web视频---土豆、网络游戏---移动游戏等。</w:t>
            </w:r>
          </w:p>
          <w:p w14:paraId="11DB06C2">
            <w:pPr>
              <w:snapToGrid w:val="0"/>
              <w:spacing w:line="320" w:lineRule="exact"/>
              <w:jc w:val="left"/>
              <w:rPr>
                <w:rFonts w:hint="eastAsia" w:hAnsi="宋体"/>
                <w:szCs w:val="21"/>
              </w:rPr>
            </w:pPr>
            <w:r>
              <w:rPr>
                <w:rFonts w:hint="eastAsia" w:hAnsi="宋体"/>
                <w:szCs w:val="21"/>
              </w:rPr>
              <w:t>2、支持DPI、DFI、节点跟踪、主动探测、加密分析等多种技术，对已经采用加密技术的P2P类应用比如BT、迅雷、Skype、eDonkey、Qvod、PPFilm、百度影音等精确识别。</w:t>
            </w:r>
          </w:p>
          <w:p w14:paraId="3FEBE936">
            <w:pPr>
              <w:snapToGrid w:val="0"/>
              <w:spacing w:line="320" w:lineRule="exact"/>
              <w:jc w:val="left"/>
              <w:rPr>
                <w:rFonts w:hint="eastAsia" w:hAnsi="宋体"/>
                <w:szCs w:val="21"/>
              </w:rPr>
            </w:pPr>
            <w:r>
              <w:rPr>
                <w:rFonts w:hint="eastAsia" w:hAnsi="宋体"/>
                <w:szCs w:val="21"/>
              </w:rPr>
              <w:t>应用层-流量控制：</w:t>
            </w:r>
          </w:p>
          <w:p w14:paraId="5BACAD2B">
            <w:pPr>
              <w:snapToGrid w:val="0"/>
              <w:spacing w:line="320" w:lineRule="exact"/>
              <w:jc w:val="left"/>
              <w:rPr>
                <w:rFonts w:hint="eastAsia" w:hAnsi="宋体"/>
                <w:szCs w:val="21"/>
              </w:rPr>
            </w:pPr>
            <w:r>
              <w:rPr>
                <w:rFonts w:hint="eastAsia" w:hAnsi="宋体"/>
                <w:szCs w:val="21"/>
              </w:rPr>
              <w:t>1、支持基于全局、链路、数据流向、共享用户、移动终端、应用协议/协议组和IP/IP群组的允许、阻断、速率控制。</w:t>
            </w:r>
          </w:p>
          <w:p w14:paraId="3C59727D">
            <w:pPr>
              <w:snapToGrid w:val="0"/>
              <w:spacing w:line="320" w:lineRule="exact"/>
              <w:jc w:val="left"/>
              <w:rPr>
                <w:rFonts w:hint="eastAsia" w:hAnsi="宋体"/>
                <w:szCs w:val="21"/>
              </w:rPr>
            </w:pPr>
            <w:r>
              <w:rPr>
                <w:rFonts w:hint="eastAsia" w:hAnsi="宋体"/>
                <w:szCs w:val="21"/>
              </w:rPr>
              <w:t>2、支持策略嵌套，在同一条策略中，既可以针对特定对象（IP或应用）进行总的数据通道控制，也可以单IP限速，同时可并列匹配“DSCP标记”等参数，实现策略的高度灵活性和简洁性。</w:t>
            </w:r>
          </w:p>
          <w:p w14:paraId="613AA5F6">
            <w:pPr>
              <w:snapToGrid w:val="0"/>
              <w:spacing w:line="320" w:lineRule="exact"/>
              <w:jc w:val="left"/>
              <w:rPr>
                <w:rFonts w:hint="eastAsia" w:hAnsi="宋体"/>
                <w:szCs w:val="21"/>
              </w:rPr>
            </w:pPr>
            <w:r>
              <w:rPr>
                <w:rFonts w:hint="eastAsia" w:hAnsi="宋体"/>
                <w:szCs w:val="21"/>
              </w:rPr>
              <w:t>3、数据通道支持“子通道优先级”功能；每个数据通道中均可设置多个优先级为的“带宽保证”类的子通道，保证类子通道所配置的带宽，用时自动占用，不用则自动释放，真正达到基于应用层（应用协议）的“按需占用、无需干预、智能带宽”（向下支持网络层基于IP）。</w:t>
            </w:r>
          </w:p>
          <w:p w14:paraId="0CF60899">
            <w:pPr>
              <w:snapToGrid w:val="0"/>
              <w:spacing w:line="320" w:lineRule="exact"/>
              <w:jc w:val="left"/>
              <w:rPr>
                <w:rFonts w:hint="eastAsia" w:hAnsi="宋体"/>
                <w:szCs w:val="21"/>
              </w:rPr>
            </w:pPr>
            <w:r>
              <w:rPr>
                <w:rFonts w:hint="eastAsia" w:hAnsi="宋体"/>
                <w:szCs w:val="21"/>
              </w:rPr>
              <w:t>应用层-连接控制：</w:t>
            </w:r>
          </w:p>
          <w:p w14:paraId="67C9E0D8">
            <w:pPr>
              <w:snapToGrid w:val="0"/>
              <w:spacing w:line="320" w:lineRule="exact"/>
              <w:jc w:val="left"/>
              <w:rPr>
                <w:rFonts w:hint="eastAsia" w:hAnsi="宋体"/>
                <w:szCs w:val="21"/>
              </w:rPr>
            </w:pPr>
            <w:r>
              <w:rPr>
                <w:rFonts w:hint="eastAsia" w:hAnsi="宋体"/>
                <w:szCs w:val="21"/>
              </w:rPr>
              <w:t>1、基于应用协议/协议组，支持针对内网每IP的TCP、UDP和总并发连接数控制。</w:t>
            </w:r>
          </w:p>
          <w:p w14:paraId="12004787">
            <w:pPr>
              <w:snapToGrid w:val="0"/>
              <w:spacing w:line="320" w:lineRule="exact"/>
              <w:jc w:val="left"/>
              <w:rPr>
                <w:rFonts w:hint="eastAsia" w:hAnsi="宋体"/>
                <w:szCs w:val="21"/>
              </w:rPr>
            </w:pPr>
            <w:r>
              <w:rPr>
                <w:rFonts w:hint="eastAsia" w:hAnsi="宋体"/>
                <w:szCs w:val="21"/>
              </w:rPr>
              <w:t>2、支持针对“DNS连接”的控制可选择控制/不控制选项，且被拒绝的连接可以在指定时间内被释放。</w:t>
            </w:r>
          </w:p>
          <w:p w14:paraId="2E005469">
            <w:pPr>
              <w:snapToGrid w:val="0"/>
              <w:spacing w:line="320" w:lineRule="exact"/>
              <w:jc w:val="left"/>
              <w:rPr>
                <w:rFonts w:hint="eastAsia" w:hAnsi="宋体"/>
                <w:szCs w:val="21"/>
              </w:rPr>
            </w:pPr>
            <w:r>
              <w:rPr>
                <w:rFonts w:hint="eastAsia" w:hAnsi="宋体"/>
                <w:szCs w:val="21"/>
              </w:rPr>
              <w:t>应用层-HTTP管控：支持根据内网IP、文件类型、访问方法（GET或POST）和目标URL等参数设置控制策略。</w:t>
            </w:r>
          </w:p>
          <w:p w14:paraId="3E3203E4">
            <w:pPr>
              <w:snapToGrid w:val="0"/>
              <w:spacing w:line="320" w:lineRule="exact"/>
              <w:jc w:val="left"/>
              <w:rPr>
                <w:rFonts w:hint="eastAsia" w:hAnsi="宋体"/>
                <w:szCs w:val="21"/>
              </w:rPr>
            </w:pPr>
            <w:r>
              <w:rPr>
                <w:rFonts w:hint="eastAsia" w:hAnsi="宋体"/>
                <w:szCs w:val="21"/>
              </w:rPr>
              <w:t>智能DNS管控：</w:t>
            </w:r>
          </w:p>
          <w:p w14:paraId="7687B061">
            <w:pPr>
              <w:snapToGrid w:val="0"/>
              <w:spacing w:line="320" w:lineRule="exact"/>
              <w:jc w:val="left"/>
              <w:rPr>
                <w:rFonts w:hint="eastAsia" w:hAnsi="宋体"/>
                <w:szCs w:val="21"/>
              </w:rPr>
            </w:pPr>
            <w:r>
              <w:rPr>
                <w:rFonts w:hint="eastAsia" w:hAnsi="宋体"/>
                <w:szCs w:val="21"/>
              </w:rPr>
              <w:t>1、可根据源IP、目标IP、访问域名、所在线路等组合条件实现对域名访问的控制。</w:t>
            </w:r>
          </w:p>
          <w:p w14:paraId="1B568A8A">
            <w:pPr>
              <w:snapToGrid w:val="0"/>
              <w:spacing w:line="320" w:lineRule="exact"/>
              <w:jc w:val="left"/>
              <w:rPr>
                <w:rFonts w:hint="eastAsia" w:hAnsi="宋体"/>
                <w:szCs w:val="21"/>
              </w:rPr>
            </w:pPr>
            <w:r>
              <w:rPr>
                <w:rFonts w:hint="eastAsia" w:hAnsi="宋体"/>
                <w:szCs w:val="21"/>
              </w:rPr>
              <w:t>2、可根据源IP、目标IP、访问域名、所在线路等组合条件实现对域名访问的QPS速率做总3、量控制和单IP控制，提供设备功能配置界面截图。</w:t>
            </w:r>
          </w:p>
          <w:p w14:paraId="401E1246">
            <w:pPr>
              <w:snapToGrid w:val="0"/>
              <w:spacing w:line="320" w:lineRule="exact"/>
              <w:jc w:val="left"/>
              <w:rPr>
                <w:rFonts w:hint="eastAsia" w:hAnsi="宋体"/>
                <w:szCs w:val="21"/>
              </w:rPr>
            </w:pPr>
            <w:r>
              <w:rPr>
                <w:rFonts w:hint="eastAsia" w:hAnsi="宋体"/>
                <w:szCs w:val="21"/>
              </w:rPr>
              <w:t>4、可根据源IP、目标IP、访问域名进行DNS重定向、牵引。</w:t>
            </w:r>
          </w:p>
          <w:p w14:paraId="756710B1">
            <w:pPr>
              <w:snapToGrid w:val="0"/>
              <w:spacing w:line="320" w:lineRule="exact"/>
              <w:jc w:val="left"/>
              <w:rPr>
                <w:rFonts w:hint="eastAsia" w:hAnsi="宋体"/>
                <w:szCs w:val="21"/>
              </w:rPr>
            </w:pPr>
            <w:r>
              <w:rPr>
                <w:rFonts w:hint="eastAsia" w:hAnsi="宋体"/>
                <w:szCs w:val="21"/>
              </w:rPr>
              <w:t>移动终端识别与控制：移动终端信息统计，如访问IP、首次访问时间、最近访问时间，同时支持对移动设备的2、网络访问进行网络访问控制，提供设备功能配置界面截图。</w:t>
            </w:r>
          </w:p>
          <w:p w14:paraId="029215C4">
            <w:pPr>
              <w:snapToGrid w:val="0"/>
              <w:spacing w:line="320" w:lineRule="exact"/>
              <w:jc w:val="left"/>
              <w:rPr>
                <w:rFonts w:hint="eastAsia" w:hAnsi="宋体"/>
                <w:szCs w:val="21"/>
              </w:rPr>
            </w:pPr>
            <w:r>
              <w:rPr>
                <w:rFonts w:hint="eastAsia" w:hAnsi="宋体"/>
                <w:szCs w:val="21"/>
              </w:rPr>
              <w:t>PC共享检测防私接管控：</w:t>
            </w:r>
          </w:p>
          <w:p w14:paraId="4BA4568D">
            <w:pPr>
              <w:snapToGrid w:val="0"/>
              <w:spacing w:line="320" w:lineRule="exact"/>
              <w:jc w:val="left"/>
              <w:rPr>
                <w:rFonts w:hint="eastAsia" w:hAnsi="宋体"/>
                <w:szCs w:val="21"/>
              </w:rPr>
            </w:pPr>
            <w:r>
              <w:rPr>
                <w:rFonts w:hint="eastAsia" w:hAnsi="宋体"/>
                <w:szCs w:val="21"/>
              </w:rPr>
              <w:t>1、★共享控制：支持检测及控制“一拖N”网络共享行为；并能以自定义“共享终端”数量，如“共享终端≥3”为触发条件，对共享网络的主机，进行基于时间的冻结控制，冻结时间结束放行网络访问，一旦再次接入，继续冻结网络访问，提供设备功能配置界面截图。</w:t>
            </w:r>
          </w:p>
          <w:p w14:paraId="327B489D">
            <w:pPr>
              <w:snapToGrid w:val="0"/>
              <w:spacing w:line="320" w:lineRule="exact"/>
              <w:jc w:val="left"/>
              <w:rPr>
                <w:rFonts w:hint="eastAsia" w:hAnsi="宋体"/>
                <w:szCs w:val="21"/>
              </w:rPr>
            </w:pPr>
            <w:r>
              <w:rPr>
                <w:rFonts w:hint="eastAsia" w:hAnsi="宋体"/>
                <w:szCs w:val="21"/>
              </w:rPr>
              <w:t>2、★共享日志：可根据设备IP、设备MAC、共享的移动终端数量、共享的PC数量、账号等纬度做共享日志记录，提供设备功能配置界面截图。</w:t>
            </w:r>
          </w:p>
          <w:p w14:paraId="0C5F1E1F">
            <w:pPr>
              <w:snapToGrid w:val="0"/>
              <w:spacing w:line="320" w:lineRule="exact"/>
              <w:jc w:val="left"/>
              <w:rPr>
                <w:rFonts w:hint="eastAsia" w:hAnsi="宋体"/>
                <w:szCs w:val="21"/>
              </w:rPr>
            </w:pPr>
            <w:r>
              <w:rPr>
                <w:rFonts w:hint="eastAsia" w:hAnsi="宋体"/>
                <w:szCs w:val="21"/>
              </w:rPr>
              <w:t>3、信任列表：支持对信任列表内的IP，进行只记录，不冻结网络访问的处理。</w:t>
            </w:r>
          </w:p>
          <w:p w14:paraId="18CB7165">
            <w:pPr>
              <w:snapToGrid w:val="0"/>
              <w:spacing w:line="320" w:lineRule="exact"/>
              <w:jc w:val="left"/>
              <w:rPr>
                <w:rFonts w:hint="eastAsia" w:hAnsi="宋体"/>
                <w:szCs w:val="21"/>
              </w:rPr>
            </w:pPr>
            <w:r>
              <w:rPr>
                <w:rFonts w:hint="eastAsia" w:hAnsi="宋体"/>
                <w:szCs w:val="21"/>
              </w:rPr>
              <w:t>4、★共享检测概括：能够识别存在1-10个终端共享的情况汇总概括，提供设备功能配置界面截图。</w:t>
            </w:r>
          </w:p>
          <w:p w14:paraId="7DB33FAF">
            <w:pPr>
              <w:snapToGrid w:val="0"/>
              <w:spacing w:line="320" w:lineRule="exact"/>
              <w:jc w:val="left"/>
              <w:rPr>
                <w:rFonts w:hint="eastAsia" w:hAnsi="宋体"/>
                <w:szCs w:val="21"/>
              </w:rPr>
            </w:pPr>
            <w:r>
              <w:rPr>
                <w:rFonts w:hint="eastAsia" w:hAnsi="宋体"/>
                <w:szCs w:val="21"/>
              </w:rPr>
              <w:t>★应用路由：可基于抖音、迅雷、WEB视频、软件更新等，做基于应用做策略路由，将指定的应用调度到指定的链路，从而充分利用出口带宽，提高带宽投入产出比，提供设备功能配置界面截图。</w:t>
            </w:r>
          </w:p>
          <w:p w14:paraId="1FC96BB9">
            <w:pPr>
              <w:snapToGrid w:val="0"/>
              <w:spacing w:line="320" w:lineRule="exact"/>
              <w:jc w:val="left"/>
              <w:rPr>
                <w:rFonts w:hint="eastAsia" w:hAnsi="宋体"/>
                <w:szCs w:val="21"/>
              </w:rPr>
            </w:pPr>
            <w:r>
              <w:rPr>
                <w:rFonts w:hint="eastAsia" w:hAnsi="宋体"/>
                <w:szCs w:val="21"/>
              </w:rPr>
              <w:t>★应用级流量镜像：可基于抖音、迅雷、WEB视频、软件更新等，做基于应用的流量过滤，将特定流量镜像到对应的安全检测产品，提供设备功能配置界面截图。</w:t>
            </w:r>
          </w:p>
          <w:p w14:paraId="282B1326">
            <w:pPr>
              <w:snapToGrid w:val="0"/>
              <w:spacing w:line="320" w:lineRule="exact"/>
              <w:jc w:val="left"/>
              <w:rPr>
                <w:rFonts w:hint="eastAsia" w:hAnsi="宋体"/>
                <w:szCs w:val="21"/>
              </w:rPr>
            </w:pPr>
            <w:r>
              <w:rPr>
                <w:rFonts w:hint="eastAsia" w:hAnsi="宋体"/>
                <w:szCs w:val="21"/>
              </w:rPr>
              <w:t>告警及监测能力：</w:t>
            </w:r>
          </w:p>
          <w:p w14:paraId="07163EA5">
            <w:pPr>
              <w:snapToGrid w:val="0"/>
              <w:spacing w:line="320" w:lineRule="exact"/>
              <w:jc w:val="left"/>
              <w:rPr>
                <w:rFonts w:hint="eastAsia" w:hAnsi="宋体"/>
                <w:szCs w:val="21"/>
              </w:rPr>
            </w:pPr>
            <w:r>
              <w:rPr>
                <w:rFonts w:hint="eastAsia" w:hAnsi="宋体"/>
                <w:szCs w:val="21"/>
              </w:rPr>
              <w:t>1、支持微信告警功能，对外网中断，单IP连接数过高，流量异常等通过微信进行告警。</w:t>
            </w:r>
          </w:p>
          <w:p w14:paraId="395B6A84">
            <w:pPr>
              <w:snapToGrid w:val="0"/>
              <w:spacing w:line="320" w:lineRule="exact"/>
              <w:jc w:val="left"/>
              <w:rPr>
                <w:rFonts w:hint="eastAsia" w:hAnsi="宋体"/>
                <w:szCs w:val="21"/>
              </w:rPr>
            </w:pPr>
            <w:r>
              <w:rPr>
                <w:rFonts w:hint="eastAsia" w:hAnsi="宋体"/>
                <w:szCs w:val="21"/>
              </w:rPr>
              <w:t>2、可定时微信推送网络应用实时质量分析报告，如dns请求排名，top热点应用，用户流量排名，应用质量分析等报告。</w:t>
            </w:r>
          </w:p>
          <w:p w14:paraId="538FB4D7">
            <w:pPr>
              <w:snapToGrid w:val="0"/>
              <w:spacing w:line="320" w:lineRule="exact"/>
              <w:jc w:val="left"/>
              <w:rPr>
                <w:rFonts w:hint="eastAsia" w:hAnsi="宋体"/>
                <w:szCs w:val="21"/>
              </w:rPr>
            </w:pPr>
            <w:r>
              <w:rPr>
                <w:rFonts w:hint="eastAsia" w:hAnsi="宋体"/>
                <w:szCs w:val="21"/>
              </w:rPr>
              <w:t>3、可针对运营商访问域名和IP进行24小时监测，并提供平均延时及丢包率信息。</w:t>
            </w:r>
          </w:p>
          <w:p w14:paraId="5DAF6D41">
            <w:pPr>
              <w:snapToGrid w:val="0"/>
              <w:spacing w:line="320" w:lineRule="exact"/>
              <w:jc w:val="left"/>
              <w:rPr>
                <w:rFonts w:hint="eastAsia" w:hAnsi="宋体"/>
                <w:szCs w:val="21"/>
              </w:rPr>
            </w:pPr>
            <w:r>
              <w:rPr>
                <w:rFonts w:hint="eastAsia" w:hAnsi="宋体"/>
                <w:szCs w:val="21"/>
              </w:rPr>
              <w:t>★NPM应用质量监测：支持分析每一条TCP连接的客户时延（设备到客户端的网络时延），服务时延（设备到应用服务器的网络时延），应用时延（应用响应时延），提供设备功能配置界面截图。</w:t>
            </w:r>
          </w:p>
          <w:p w14:paraId="27D8B57D">
            <w:pPr>
              <w:snapToGrid w:val="0"/>
              <w:spacing w:line="320" w:lineRule="exact"/>
              <w:jc w:val="left"/>
              <w:rPr>
                <w:rFonts w:hint="eastAsia" w:hAnsi="宋体"/>
                <w:szCs w:val="21"/>
              </w:rPr>
            </w:pPr>
            <w:r>
              <w:rPr>
                <w:rFonts w:hint="eastAsia" w:hAnsi="宋体"/>
                <w:szCs w:val="21"/>
              </w:rPr>
              <w:t>监控统计：支持TOP连接排序，可以指定应用和IP条件进行IP（内网IP和外网IP均可）连接数排名统计，以快速定位攻击或被攻击IP。</w:t>
            </w:r>
          </w:p>
          <w:p w14:paraId="5C00A8D3">
            <w:pPr>
              <w:snapToGrid w:val="0"/>
              <w:spacing w:line="320" w:lineRule="exact"/>
              <w:jc w:val="left"/>
              <w:rPr>
                <w:rFonts w:hint="eastAsia" w:hAnsi="宋体"/>
                <w:szCs w:val="21"/>
              </w:rPr>
            </w:pPr>
            <w:r>
              <w:rPr>
                <w:rFonts w:hint="eastAsia" w:hAnsi="宋体"/>
                <w:szCs w:val="21"/>
              </w:rPr>
              <w:t>威胁情报：</w:t>
            </w:r>
          </w:p>
          <w:p w14:paraId="05F6E8DA">
            <w:pPr>
              <w:snapToGrid w:val="0"/>
              <w:spacing w:line="320" w:lineRule="exact"/>
              <w:jc w:val="left"/>
              <w:rPr>
                <w:rFonts w:hint="eastAsia" w:hAnsi="宋体"/>
                <w:szCs w:val="21"/>
              </w:rPr>
            </w:pPr>
            <w:r>
              <w:rPr>
                <w:rFonts w:hint="eastAsia" w:hAnsi="宋体"/>
                <w:szCs w:val="21"/>
              </w:rPr>
              <w:t>1、★情报阻断：要求设备中内置威胁情报资源库，可以识别数字货币情报、恶意软件情报、僵尸网络情报等目标地址或目标域名，并可以对其进行阻断、拦截；并对阻断日志进行记录，便于事后分析，提供设备功能配置界面截图。</w:t>
            </w:r>
          </w:p>
          <w:p w14:paraId="65DDF61C">
            <w:pPr>
              <w:snapToGrid w:val="0"/>
              <w:spacing w:line="320" w:lineRule="exact"/>
              <w:jc w:val="left"/>
              <w:rPr>
                <w:rFonts w:hint="eastAsia" w:hAnsi="宋体"/>
                <w:szCs w:val="21"/>
              </w:rPr>
            </w:pPr>
            <w:r>
              <w:rPr>
                <w:rFonts w:hint="eastAsia" w:hAnsi="宋体"/>
                <w:szCs w:val="21"/>
              </w:rPr>
              <w:t>2、★情报升级：支持自动在线升级威胁情报库，确保设备内置威胁情报库信息保持最新，提供设备功能配置界面截图。</w:t>
            </w:r>
          </w:p>
          <w:p w14:paraId="31655EA9">
            <w:pPr>
              <w:snapToGrid w:val="0"/>
              <w:spacing w:line="320" w:lineRule="exact"/>
              <w:jc w:val="left"/>
              <w:rPr>
                <w:rFonts w:hint="eastAsia" w:hAnsi="宋体"/>
                <w:szCs w:val="21"/>
              </w:rPr>
            </w:pPr>
            <w:r>
              <w:rPr>
                <w:rFonts w:hint="eastAsia" w:hAnsi="宋体"/>
                <w:szCs w:val="21"/>
              </w:rPr>
              <w:t>WEB认证：</w:t>
            </w:r>
          </w:p>
          <w:p w14:paraId="45488396">
            <w:pPr>
              <w:snapToGrid w:val="0"/>
              <w:spacing w:line="320" w:lineRule="exact"/>
              <w:jc w:val="left"/>
              <w:rPr>
                <w:rFonts w:hint="eastAsia" w:hAnsi="宋体"/>
                <w:szCs w:val="21"/>
              </w:rPr>
            </w:pPr>
            <w:r>
              <w:rPr>
                <w:rFonts w:hint="eastAsia" w:hAnsi="宋体"/>
                <w:szCs w:val="21"/>
              </w:rPr>
              <w:t>1、支持WEB认证；认证方式有本地认证、radius认证、AD域认证、第三方认证、微信认证。</w:t>
            </w:r>
          </w:p>
          <w:p w14:paraId="1B2D45D9">
            <w:pPr>
              <w:snapToGrid w:val="0"/>
              <w:spacing w:line="320" w:lineRule="exact"/>
              <w:jc w:val="left"/>
              <w:rPr>
                <w:rFonts w:hint="eastAsia" w:hAnsi="宋体"/>
                <w:szCs w:val="21"/>
              </w:rPr>
            </w:pPr>
            <w:r>
              <w:rPr>
                <w:rFonts w:hint="eastAsia" w:hAnsi="宋体"/>
                <w:szCs w:val="21"/>
              </w:rPr>
              <w:t>2、支持外置Portal认证，并支持CMCC Web Portal协议。</w:t>
            </w:r>
          </w:p>
          <w:p w14:paraId="34A47C78">
            <w:pPr>
              <w:snapToGrid w:val="0"/>
              <w:spacing w:line="320" w:lineRule="exact"/>
              <w:jc w:val="left"/>
              <w:rPr>
                <w:rFonts w:hint="eastAsia" w:hAnsi="宋体"/>
                <w:szCs w:val="21"/>
              </w:rPr>
            </w:pPr>
            <w:r>
              <w:rPr>
                <w:rFonts w:hint="eastAsia" w:hAnsi="宋体"/>
                <w:szCs w:val="21"/>
              </w:rPr>
              <w:t>3、支持记录MAC功能，用户认证后记录MAC，记录下的MAC可以在指定时间内免登录。</w:t>
            </w:r>
          </w:p>
          <w:p w14:paraId="1372687D">
            <w:pPr>
              <w:snapToGrid w:val="0"/>
              <w:spacing w:line="320" w:lineRule="exact"/>
              <w:jc w:val="left"/>
              <w:rPr>
                <w:rFonts w:hint="eastAsia" w:hAnsi="宋体"/>
                <w:szCs w:val="21"/>
              </w:rPr>
            </w:pPr>
            <w:r>
              <w:rPr>
                <w:rFonts w:hint="eastAsia" w:hAnsi="宋体"/>
                <w:szCs w:val="21"/>
              </w:rPr>
              <w:t>4、可以将AD域帐号同步过来，实现基于AD域帐号认证和帐号控制。</w:t>
            </w:r>
          </w:p>
          <w:p w14:paraId="2D07F3C2">
            <w:pPr>
              <w:snapToGrid w:val="0"/>
              <w:spacing w:line="320" w:lineRule="exact"/>
              <w:jc w:val="left"/>
              <w:rPr>
                <w:rFonts w:hint="eastAsia" w:hAnsi="宋体"/>
                <w:szCs w:val="21"/>
              </w:rPr>
            </w:pPr>
            <w:r>
              <w:rPr>
                <w:rFonts w:hint="eastAsia" w:hAnsi="宋体"/>
                <w:szCs w:val="21"/>
              </w:rPr>
              <w:t>5、支持HTTPS访问时可重定向到WEB认证页面。</w:t>
            </w:r>
          </w:p>
          <w:p w14:paraId="08130194">
            <w:pPr>
              <w:snapToGrid w:val="0"/>
              <w:spacing w:line="320" w:lineRule="exact"/>
              <w:jc w:val="left"/>
              <w:rPr>
                <w:rFonts w:hint="eastAsia" w:hAnsi="宋体"/>
                <w:szCs w:val="21"/>
              </w:rPr>
            </w:pPr>
            <w:r>
              <w:rPr>
                <w:rFonts w:hint="eastAsia" w:hAnsi="宋体"/>
                <w:szCs w:val="21"/>
              </w:rPr>
              <w:t>6、在本地认证时，可以将用户分组，并可以对不同的组做不同的策略。</w:t>
            </w:r>
          </w:p>
          <w:p w14:paraId="574A7CFD">
            <w:pPr>
              <w:snapToGrid w:val="0"/>
              <w:spacing w:line="320" w:lineRule="exact"/>
              <w:jc w:val="left"/>
              <w:rPr>
                <w:rFonts w:hint="eastAsia" w:hAnsi="宋体"/>
                <w:szCs w:val="21"/>
              </w:rPr>
            </w:pPr>
            <w:r>
              <w:rPr>
                <w:rFonts w:hint="eastAsia" w:hAnsi="宋体"/>
                <w:szCs w:val="21"/>
              </w:rPr>
              <w:t>Radius嗅探及账号同步：</w:t>
            </w:r>
          </w:p>
          <w:p w14:paraId="4AFFF04B">
            <w:pPr>
              <w:snapToGrid w:val="0"/>
              <w:spacing w:line="320" w:lineRule="exact"/>
              <w:jc w:val="left"/>
              <w:rPr>
                <w:rFonts w:hint="eastAsia" w:hAnsi="宋体"/>
                <w:szCs w:val="21"/>
              </w:rPr>
            </w:pPr>
            <w:r>
              <w:rPr>
                <w:rFonts w:hint="eastAsia" w:hAnsi="宋体"/>
                <w:szCs w:val="21"/>
              </w:rPr>
              <w:t>1、支持和城市热点、锐捷SAM、深澜计费联动，可以实现基于帐号的流量控制。</w:t>
            </w:r>
          </w:p>
          <w:p w14:paraId="41B3F387">
            <w:pPr>
              <w:snapToGrid w:val="0"/>
              <w:spacing w:line="320" w:lineRule="exact"/>
              <w:jc w:val="left"/>
              <w:rPr>
                <w:rFonts w:hint="eastAsia" w:hAnsi="宋体"/>
                <w:szCs w:val="21"/>
              </w:rPr>
            </w:pPr>
            <w:r>
              <w:rPr>
                <w:rFonts w:hint="eastAsia" w:hAnsi="宋体"/>
                <w:szCs w:val="21"/>
              </w:rPr>
              <w:t>2、可以旁路或串接模式下，深度分析RADIUS数据包，找到帐号和IP地址对应关系。</w:t>
            </w:r>
          </w:p>
          <w:p w14:paraId="68B8643E">
            <w:pPr>
              <w:snapToGrid w:val="0"/>
              <w:spacing w:line="320" w:lineRule="exact"/>
              <w:jc w:val="left"/>
              <w:rPr>
                <w:rFonts w:hint="eastAsia" w:hAnsi="宋体"/>
                <w:szCs w:val="21"/>
              </w:rPr>
            </w:pPr>
            <w:r>
              <w:rPr>
                <w:rFonts w:hint="eastAsia" w:hAnsi="宋体"/>
                <w:szCs w:val="21"/>
              </w:rPr>
              <w:t>3、可以串接模式下，深度分析RADIUS数据包，找到帐号的带宽限制参数，自动对相应IP做限速。</w:t>
            </w:r>
          </w:p>
          <w:p w14:paraId="3D1D7E63">
            <w:pPr>
              <w:snapToGrid w:val="0"/>
              <w:spacing w:line="320" w:lineRule="exact"/>
              <w:jc w:val="left"/>
              <w:rPr>
                <w:rFonts w:hint="eastAsia" w:hAnsi="宋体"/>
                <w:szCs w:val="21"/>
              </w:rPr>
            </w:pPr>
            <w:r>
              <w:rPr>
                <w:rFonts w:hint="eastAsia" w:hAnsi="宋体"/>
                <w:szCs w:val="21"/>
              </w:rPr>
              <w:t>应用商店APP接口：</w:t>
            </w:r>
          </w:p>
          <w:p w14:paraId="0CF9A024">
            <w:pPr>
              <w:snapToGrid w:val="0"/>
              <w:spacing w:line="320" w:lineRule="exact"/>
              <w:jc w:val="left"/>
              <w:rPr>
                <w:rFonts w:hint="eastAsia" w:hAnsi="宋体"/>
                <w:szCs w:val="21"/>
              </w:rPr>
            </w:pPr>
            <w:r>
              <w:rPr>
                <w:rFonts w:hint="eastAsia" w:hAnsi="宋体"/>
                <w:szCs w:val="21"/>
              </w:rPr>
              <w:t>1、系统支持应用商店接口，用户可调用平台分析、控制、管理引擎开发脚本实现自定义功能模块。</w:t>
            </w:r>
          </w:p>
          <w:p w14:paraId="6CCA328A">
            <w:pPr>
              <w:snapToGrid w:val="0"/>
              <w:spacing w:line="320" w:lineRule="exact"/>
              <w:jc w:val="left"/>
              <w:rPr>
                <w:rFonts w:hint="eastAsia" w:hAnsi="宋体"/>
                <w:szCs w:val="21"/>
              </w:rPr>
            </w:pPr>
            <w:r>
              <w:rPr>
                <w:rFonts w:hint="eastAsia" w:hAnsi="宋体"/>
                <w:szCs w:val="21"/>
              </w:rPr>
              <w:t>2、应用商店默认包含功能“系统设置”“云平台”“运维助手”“服务快线”“跨三层取MAC”“无线SAC”等。</w:t>
            </w:r>
          </w:p>
          <w:p w14:paraId="19932D81">
            <w:pPr>
              <w:snapToGrid w:val="0"/>
              <w:spacing w:line="320" w:lineRule="exact"/>
              <w:jc w:val="left"/>
              <w:rPr>
                <w:rFonts w:hint="eastAsia" w:hAnsi="宋体"/>
                <w:szCs w:val="21"/>
              </w:rPr>
            </w:pPr>
            <w:r>
              <w:rPr>
                <w:rFonts w:hint="eastAsia" w:hAnsi="宋体"/>
                <w:szCs w:val="21"/>
              </w:rPr>
              <w:t>安全防护：</w:t>
            </w:r>
          </w:p>
          <w:p w14:paraId="354E1741">
            <w:pPr>
              <w:snapToGrid w:val="0"/>
              <w:spacing w:line="320" w:lineRule="exact"/>
              <w:jc w:val="left"/>
              <w:rPr>
                <w:rFonts w:hint="eastAsia" w:hAnsi="宋体"/>
                <w:szCs w:val="21"/>
              </w:rPr>
            </w:pPr>
            <w:r>
              <w:rPr>
                <w:rFonts w:hint="eastAsia" w:hAnsi="宋体"/>
                <w:szCs w:val="21"/>
              </w:rPr>
              <w:t>1、支持“内网伪IP”防护功能；检测并控制内网中毒设备伪装大量假IP攻击网络的行为。</w:t>
            </w:r>
          </w:p>
          <w:p w14:paraId="30FD7875">
            <w:pPr>
              <w:snapToGrid w:val="0"/>
              <w:spacing w:line="320" w:lineRule="exact"/>
              <w:jc w:val="left"/>
              <w:rPr>
                <w:rFonts w:hint="eastAsia" w:hAnsi="宋体"/>
                <w:szCs w:val="21"/>
              </w:rPr>
            </w:pPr>
            <w:r>
              <w:rPr>
                <w:rFonts w:hint="eastAsia" w:hAnsi="宋体"/>
                <w:szCs w:val="21"/>
              </w:rPr>
              <w:t>2、支持“垃圾包”检测及过滤功能及“IP分片”攻击检测及过滤功能。</w:t>
            </w:r>
          </w:p>
          <w:p w14:paraId="6DACC282">
            <w:pPr>
              <w:snapToGrid w:val="0"/>
              <w:spacing w:line="320" w:lineRule="exact"/>
              <w:jc w:val="left"/>
              <w:rPr>
                <w:rFonts w:hint="eastAsia" w:hAnsi="宋体"/>
                <w:szCs w:val="21"/>
              </w:rPr>
            </w:pPr>
            <w:r>
              <w:rPr>
                <w:rFonts w:hint="eastAsia" w:hAnsi="宋体"/>
                <w:szCs w:val="21"/>
              </w:rPr>
              <w:t>管理维护：</w:t>
            </w:r>
          </w:p>
          <w:p w14:paraId="49CA0BAA">
            <w:pPr>
              <w:snapToGrid w:val="0"/>
              <w:spacing w:line="320" w:lineRule="exact"/>
              <w:jc w:val="left"/>
              <w:rPr>
                <w:rFonts w:hint="eastAsia" w:hAnsi="宋体"/>
                <w:szCs w:val="21"/>
              </w:rPr>
            </w:pPr>
            <w:r>
              <w:rPr>
                <w:rFonts w:hint="eastAsia" w:hAnsi="宋体"/>
                <w:szCs w:val="21"/>
              </w:rPr>
              <w:t>1、支持中英文Web管理界面。</w:t>
            </w:r>
          </w:p>
          <w:p w14:paraId="2D356CFD">
            <w:pPr>
              <w:snapToGrid w:val="0"/>
              <w:spacing w:line="320" w:lineRule="exact"/>
              <w:jc w:val="left"/>
              <w:rPr>
                <w:rFonts w:hint="eastAsia" w:hAnsi="宋体"/>
                <w:szCs w:val="21"/>
              </w:rPr>
            </w:pPr>
            <w:r>
              <w:rPr>
                <w:rFonts w:hint="eastAsia" w:hAnsi="宋体"/>
                <w:szCs w:val="21"/>
              </w:rPr>
              <w:t>2、安全的HTTPS、SSH管理方式。</w:t>
            </w:r>
          </w:p>
          <w:p w14:paraId="2BCFF1F1">
            <w:pPr>
              <w:snapToGrid w:val="0"/>
              <w:spacing w:line="320" w:lineRule="exact"/>
              <w:jc w:val="left"/>
              <w:rPr>
                <w:rFonts w:hint="eastAsia" w:hAnsi="宋体"/>
                <w:szCs w:val="21"/>
              </w:rPr>
            </w:pPr>
            <w:r>
              <w:rPr>
                <w:rFonts w:hint="eastAsia" w:hAnsi="宋体"/>
                <w:szCs w:val="21"/>
              </w:rPr>
              <w:t>3、IP群组功能，支持IP嵌套。</w:t>
            </w:r>
          </w:p>
          <w:p w14:paraId="4B9D269E">
            <w:pPr>
              <w:snapToGrid w:val="0"/>
              <w:spacing w:line="320" w:lineRule="exact"/>
              <w:jc w:val="left"/>
              <w:rPr>
                <w:rFonts w:hint="eastAsia" w:hAnsi="宋体"/>
                <w:szCs w:val="21"/>
              </w:rPr>
            </w:pPr>
            <w:r>
              <w:rPr>
                <w:rFonts w:hint="eastAsia" w:hAnsi="宋体"/>
                <w:szCs w:val="21"/>
              </w:rPr>
              <w:t>4、自定义协议、自定义协议组功能。</w:t>
            </w:r>
          </w:p>
          <w:p w14:paraId="1DF320AB">
            <w:pPr>
              <w:snapToGrid w:val="0"/>
              <w:spacing w:line="320" w:lineRule="exact"/>
              <w:jc w:val="left"/>
              <w:rPr>
                <w:rFonts w:hint="eastAsia" w:hAnsi="宋体"/>
                <w:szCs w:val="21"/>
              </w:rPr>
            </w:pPr>
            <w:r>
              <w:rPr>
                <w:rFonts w:hint="eastAsia" w:hAnsi="宋体"/>
                <w:szCs w:val="21"/>
              </w:rPr>
              <w:t>5、支持用户权限分级，如guest帐号仅具有查询权限。</w:t>
            </w:r>
          </w:p>
          <w:p w14:paraId="4A076B78">
            <w:pPr>
              <w:snapToGrid w:val="0"/>
              <w:spacing w:line="320" w:lineRule="exact"/>
              <w:jc w:val="left"/>
              <w:rPr>
                <w:rFonts w:hint="eastAsia" w:hAnsi="宋体"/>
                <w:szCs w:val="21"/>
              </w:rPr>
            </w:pPr>
            <w:r>
              <w:rPr>
                <w:rFonts w:hint="eastAsia" w:hAnsi="宋体"/>
                <w:szCs w:val="21"/>
              </w:rPr>
              <w:t>6、支持IP_MAC绑定；支持白名单功能；支持IP_MAC地址表文件导入、导出、修改。</w:t>
            </w:r>
          </w:p>
          <w:p w14:paraId="04F60023">
            <w:pPr>
              <w:snapToGrid w:val="0"/>
              <w:spacing w:line="320" w:lineRule="exact"/>
              <w:jc w:val="left"/>
              <w:rPr>
                <w:rFonts w:hint="eastAsia" w:hAnsi="宋体"/>
                <w:szCs w:val="21"/>
              </w:rPr>
            </w:pPr>
            <w:r>
              <w:rPr>
                <w:rFonts w:hint="eastAsia" w:hAnsi="宋体"/>
                <w:szCs w:val="21"/>
              </w:rPr>
              <w:t>其它要求：</w:t>
            </w:r>
          </w:p>
          <w:p w14:paraId="1380E167">
            <w:pPr>
              <w:snapToGrid w:val="0"/>
              <w:spacing w:line="320" w:lineRule="exact"/>
              <w:jc w:val="left"/>
              <w:rPr>
                <w:rFonts w:hAnsi="宋体"/>
                <w:szCs w:val="21"/>
              </w:rPr>
            </w:pPr>
            <w:r>
              <w:rPr>
                <w:rFonts w:hint="eastAsia" w:hAnsi="宋体"/>
                <w:szCs w:val="21"/>
              </w:rPr>
              <w:t>1、★与本次采购的日志系统为同一品牌，且可接入学校现有北京派网日志系统，无需额外适配</w:t>
            </w:r>
          </w:p>
        </w:tc>
      </w:tr>
      <w:tr w14:paraId="4E7B0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5" w:hRule="atLeast"/>
        </w:trPr>
        <w:tc>
          <w:tcPr>
            <w:tcW w:w="736" w:type="dxa"/>
            <w:tcBorders>
              <w:top w:val="single" w:color="auto" w:sz="4" w:space="0"/>
              <w:left w:val="single" w:color="auto" w:sz="4" w:space="0"/>
              <w:bottom w:val="single" w:color="auto" w:sz="4" w:space="0"/>
              <w:right w:val="single" w:color="auto" w:sz="4" w:space="0"/>
            </w:tcBorders>
            <w:vAlign w:val="center"/>
          </w:tcPr>
          <w:p w14:paraId="08A454A9">
            <w:pPr>
              <w:snapToGrid w:val="0"/>
              <w:spacing w:line="320" w:lineRule="exact"/>
              <w:jc w:val="center"/>
              <w:rPr>
                <w:rFonts w:hint="eastAsia" w:ascii="宋体" w:hAnsi="宋体"/>
                <w:color w:val="000000"/>
                <w:szCs w:val="21"/>
              </w:rPr>
            </w:pPr>
            <w:r>
              <w:rPr>
                <w:rFonts w:hint="eastAsia" w:ascii="宋体" w:hAnsi="宋体"/>
                <w:color w:val="000000"/>
                <w:szCs w:val="21"/>
              </w:rPr>
              <w:t>2</w:t>
            </w:r>
          </w:p>
        </w:tc>
        <w:tc>
          <w:tcPr>
            <w:tcW w:w="1964" w:type="dxa"/>
            <w:gridSpan w:val="2"/>
            <w:tcBorders>
              <w:top w:val="single" w:color="auto" w:sz="4" w:space="0"/>
              <w:left w:val="single" w:color="auto" w:sz="4" w:space="0"/>
              <w:bottom w:val="single" w:color="auto" w:sz="4" w:space="0"/>
              <w:right w:val="single" w:color="auto" w:sz="4" w:space="0"/>
            </w:tcBorders>
            <w:vAlign w:val="center"/>
          </w:tcPr>
          <w:p w14:paraId="4565F6D2">
            <w:pPr>
              <w:bidi w:val="0"/>
              <w:jc w:val="center"/>
              <w:rPr>
                <w:rFonts w:ascii="宋体" w:hAnsi="宋体"/>
                <w:color w:val="000000"/>
                <w:szCs w:val="21"/>
              </w:rPr>
            </w:pPr>
            <w:r>
              <w:rPr>
                <w:rFonts w:hint="eastAsia"/>
              </w:rPr>
              <w:t>日志系统</w:t>
            </w:r>
          </w:p>
        </w:tc>
        <w:tc>
          <w:tcPr>
            <w:tcW w:w="900" w:type="dxa"/>
            <w:tcBorders>
              <w:top w:val="single" w:color="auto" w:sz="4" w:space="0"/>
              <w:left w:val="single" w:color="auto" w:sz="4" w:space="0"/>
              <w:bottom w:val="single" w:color="auto" w:sz="4" w:space="0"/>
              <w:right w:val="single" w:color="auto" w:sz="4" w:space="0"/>
            </w:tcBorders>
            <w:vAlign w:val="center"/>
          </w:tcPr>
          <w:p w14:paraId="18BE3C3E">
            <w:pPr>
              <w:bidi w:val="0"/>
              <w:jc w:val="center"/>
              <w:rPr>
                <w:rFonts w:hint="default" w:eastAsia="宋体"/>
                <w:kern w:val="2"/>
                <w:sz w:val="21"/>
                <w:szCs w:val="21"/>
                <w:lang w:val="en-US" w:eastAsia="zh-CN" w:bidi="ar-SA"/>
              </w:rPr>
            </w:pPr>
            <w:r>
              <w:t>1</w:t>
            </w:r>
          </w:p>
        </w:tc>
        <w:tc>
          <w:tcPr>
            <w:tcW w:w="1426" w:type="dxa"/>
            <w:tcBorders>
              <w:top w:val="single" w:color="auto" w:sz="4" w:space="0"/>
              <w:left w:val="single" w:color="auto" w:sz="4" w:space="0"/>
              <w:bottom w:val="single" w:color="auto" w:sz="4" w:space="0"/>
              <w:right w:val="single" w:color="auto" w:sz="4" w:space="0"/>
            </w:tcBorders>
            <w:vAlign w:val="center"/>
          </w:tcPr>
          <w:p w14:paraId="392F8F56">
            <w:pPr>
              <w:snapToGrid w:val="0"/>
              <w:spacing w:line="320" w:lineRule="exact"/>
              <w:jc w:val="left"/>
              <w:rPr>
                <w:rFonts w:hAnsi="宋体"/>
                <w:szCs w:val="21"/>
              </w:rPr>
            </w:pPr>
            <w:r>
              <w:rPr>
                <w:rFonts w:hint="eastAsia" w:hAnsi="宋体"/>
                <w:szCs w:val="21"/>
              </w:rPr>
              <w:t>Panalog Ultra EX</w:t>
            </w:r>
          </w:p>
        </w:tc>
        <w:tc>
          <w:tcPr>
            <w:tcW w:w="5414" w:type="dxa"/>
            <w:tcBorders>
              <w:top w:val="single" w:color="auto" w:sz="4" w:space="0"/>
              <w:left w:val="single" w:color="auto" w:sz="4" w:space="0"/>
              <w:bottom w:val="single" w:color="auto" w:sz="4" w:space="0"/>
              <w:right w:val="single" w:color="auto" w:sz="4" w:space="0"/>
            </w:tcBorders>
            <w:vAlign w:val="center"/>
          </w:tcPr>
          <w:p w14:paraId="18BC6C46">
            <w:pPr>
              <w:snapToGrid w:val="0"/>
              <w:spacing w:line="320" w:lineRule="exact"/>
              <w:jc w:val="left"/>
              <w:rPr>
                <w:rFonts w:hint="eastAsia" w:hAnsi="宋体"/>
                <w:szCs w:val="21"/>
              </w:rPr>
            </w:pPr>
            <w:r>
              <w:rPr>
                <w:rFonts w:hint="eastAsia" w:hAnsi="宋体"/>
                <w:szCs w:val="21"/>
              </w:rPr>
              <w:t>★硬件配置要求：1U机架式设备；8核心，32G内存，2*2.5G电口，2*10G光口，网卡，4T SATA硬盘*4、4个扩展盘位、双电源。</w:t>
            </w:r>
          </w:p>
          <w:p w14:paraId="1F658EB2">
            <w:pPr>
              <w:snapToGrid w:val="0"/>
              <w:spacing w:line="320" w:lineRule="exact"/>
              <w:jc w:val="left"/>
              <w:rPr>
                <w:rFonts w:hint="eastAsia" w:hAnsi="宋体"/>
                <w:szCs w:val="21"/>
              </w:rPr>
            </w:pPr>
            <w:r>
              <w:rPr>
                <w:rFonts w:hint="eastAsia" w:hAnsi="宋体"/>
                <w:szCs w:val="21"/>
              </w:rPr>
              <w:t>★集群：支持与我校钱塘校区大数据日志分析审计系统（派网Panalog Ultra）做集群部署，如非现网品牌大数据日志分析系统，提供所投品牌对接承诺函。</w:t>
            </w:r>
          </w:p>
          <w:p w14:paraId="27BEE5CA">
            <w:pPr>
              <w:snapToGrid w:val="0"/>
              <w:spacing w:line="320" w:lineRule="exact"/>
              <w:jc w:val="left"/>
              <w:rPr>
                <w:rFonts w:hint="eastAsia" w:hAnsi="宋体"/>
                <w:szCs w:val="21"/>
              </w:rPr>
            </w:pPr>
            <w:r>
              <w:rPr>
                <w:rFonts w:hint="eastAsia" w:hAnsi="宋体"/>
                <w:szCs w:val="21"/>
              </w:rPr>
              <w:t>★会话日志查询检索条件：</w:t>
            </w:r>
          </w:p>
          <w:p w14:paraId="50CE27AF">
            <w:pPr>
              <w:snapToGrid w:val="0"/>
              <w:spacing w:line="320" w:lineRule="exact"/>
              <w:jc w:val="left"/>
              <w:rPr>
                <w:rFonts w:hint="eastAsia" w:hAnsi="宋体"/>
                <w:szCs w:val="21"/>
              </w:rPr>
            </w:pPr>
            <w:r>
              <w:rPr>
                <w:rFonts w:hint="eastAsia" w:hAnsi="宋体"/>
                <w:szCs w:val="21"/>
              </w:rPr>
              <w:t>1、会话日志检索包含访问时间、源地址、目标地址、NAT地址、账号信息、域名、协议类型、上行流量、下行流量、源IP区域、目标IP区域、源运营商、目标运营商、连接时长等信息，不少于14个元素。</w:t>
            </w:r>
          </w:p>
          <w:p w14:paraId="4B3A259B">
            <w:pPr>
              <w:snapToGrid w:val="0"/>
              <w:spacing w:line="320" w:lineRule="exact"/>
              <w:jc w:val="left"/>
              <w:rPr>
                <w:rFonts w:hint="eastAsia" w:hAnsi="宋体"/>
                <w:szCs w:val="21"/>
              </w:rPr>
            </w:pPr>
            <w:r>
              <w:rPr>
                <w:rFonts w:hint="eastAsia" w:hAnsi="宋体"/>
                <w:szCs w:val="21"/>
              </w:rPr>
              <w:t>2、同时采用1:1的日志输出，完整保留网络中的相关信息，提供系统功能配置界面截图。</w:t>
            </w:r>
          </w:p>
          <w:p w14:paraId="5D810D38">
            <w:pPr>
              <w:snapToGrid w:val="0"/>
              <w:spacing w:line="320" w:lineRule="exact"/>
              <w:jc w:val="left"/>
              <w:rPr>
                <w:rFonts w:hint="eastAsia" w:hAnsi="宋体"/>
                <w:szCs w:val="21"/>
              </w:rPr>
            </w:pPr>
            <w:r>
              <w:rPr>
                <w:rFonts w:hint="eastAsia" w:hAnsi="宋体"/>
                <w:szCs w:val="21"/>
              </w:rPr>
              <w:t>3、★会话日志查询模糊查询：支持源IP、目标IP、源NAT地址、目标NAT地址的通配符模糊查询方式，提供系统功能配置界面截图。</w:t>
            </w:r>
          </w:p>
          <w:p w14:paraId="49385C44">
            <w:pPr>
              <w:snapToGrid w:val="0"/>
              <w:spacing w:line="320" w:lineRule="exact"/>
              <w:jc w:val="left"/>
              <w:rPr>
                <w:rFonts w:hint="eastAsia" w:hAnsi="宋体"/>
                <w:szCs w:val="21"/>
              </w:rPr>
            </w:pPr>
            <w:r>
              <w:rPr>
                <w:rFonts w:hint="eastAsia" w:hAnsi="宋体"/>
                <w:szCs w:val="21"/>
              </w:rPr>
              <w:t>4、★SYSLOG日志：支持以SYSLOG方式接收出口防火墙NAT日志，提供系统功能配置界面截图。</w:t>
            </w:r>
          </w:p>
          <w:p w14:paraId="473344A6">
            <w:pPr>
              <w:snapToGrid w:val="0"/>
              <w:spacing w:line="320" w:lineRule="exact"/>
              <w:jc w:val="left"/>
              <w:rPr>
                <w:rFonts w:hint="eastAsia" w:hAnsi="宋体"/>
                <w:szCs w:val="21"/>
              </w:rPr>
            </w:pPr>
            <w:r>
              <w:rPr>
                <w:rFonts w:hint="eastAsia" w:hAnsi="宋体"/>
                <w:szCs w:val="21"/>
              </w:rPr>
              <w:t>5、★NetFlow支持接收NetFlow流量分析，可分析接口流量、IP流量、应用流量、会话流量等，提供系统功能配置界面截图。</w:t>
            </w:r>
          </w:p>
          <w:p w14:paraId="4DADDC80">
            <w:pPr>
              <w:snapToGrid w:val="0"/>
              <w:spacing w:line="320" w:lineRule="exact"/>
              <w:jc w:val="left"/>
              <w:rPr>
                <w:rFonts w:hint="eastAsia" w:hAnsi="宋体"/>
                <w:szCs w:val="21"/>
              </w:rPr>
            </w:pPr>
            <w:r>
              <w:rPr>
                <w:rFonts w:hint="eastAsia" w:hAnsi="宋体"/>
                <w:szCs w:val="21"/>
              </w:rPr>
              <w:t>虚拟身份查询：支持通过QQ号码、微信ID、邮箱地址、淘宝账号、手机IMEI等信息来查询到对应的IP地址以及登陆事件。</w:t>
            </w:r>
          </w:p>
          <w:p w14:paraId="6BC82C97">
            <w:pPr>
              <w:snapToGrid w:val="0"/>
              <w:spacing w:line="320" w:lineRule="exact"/>
              <w:jc w:val="left"/>
              <w:rPr>
                <w:rFonts w:hint="eastAsia" w:hAnsi="宋体"/>
                <w:szCs w:val="21"/>
              </w:rPr>
            </w:pPr>
            <w:r>
              <w:rPr>
                <w:rFonts w:hint="eastAsia" w:hAnsi="宋体"/>
                <w:szCs w:val="21"/>
              </w:rPr>
              <w:t>PCDN日志检测：支持PCDN抖音云、PCDN网心云、PCDN通达云、PCDN银河互联网、PCDN亿点云、PCDN蘑菇云、PCDN金牛云等检测。</w:t>
            </w:r>
          </w:p>
          <w:p w14:paraId="62D6CE37">
            <w:pPr>
              <w:snapToGrid w:val="0"/>
              <w:spacing w:line="320" w:lineRule="exact"/>
              <w:jc w:val="left"/>
              <w:rPr>
                <w:rFonts w:hint="eastAsia" w:hAnsi="宋体"/>
                <w:szCs w:val="21"/>
              </w:rPr>
            </w:pPr>
            <w:r>
              <w:rPr>
                <w:rFonts w:hint="eastAsia" w:hAnsi="宋体"/>
                <w:szCs w:val="21"/>
              </w:rPr>
              <w:t>★时延统计：可基于账号、IP查询客户端时延（内网时延）、服务时延（运营商链路时延）、应用时延（应用响应的时间），提供系统功能配置界面。</w:t>
            </w:r>
          </w:p>
          <w:p w14:paraId="62D80A45">
            <w:pPr>
              <w:snapToGrid w:val="0"/>
              <w:spacing w:line="320" w:lineRule="exact"/>
              <w:jc w:val="left"/>
              <w:rPr>
                <w:rFonts w:hint="eastAsia" w:hAnsi="宋体"/>
                <w:szCs w:val="21"/>
              </w:rPr>
            </w:pPr>
            <w:r>
              <w:rPr>
                <w:rFonts w:hint="eastAsia" w:hAnsi="宋体"/>
                <w:szCs w:val="21"/>
              </w:rPr>
              <w:t>用户画像：支持账号或IP的用户画像功能，可以分析该用户访问的地理区域，去往各个运营商比例，该用户的TOP协议排名图，用户访问流量趋势图等信息。</w:t>
            </w:r>
          </w:p>
          <w:p w14:paraId="68248D21">
            <w:pPr>
              <w:snapToGrid w:val="0"/>
              <w:spacing w:line="320" w:lineRule="exact"/>
              <w:jc w:val="left"/>
              <w:rPr>
                <w:rFonts w:hint="eastAsia" w:hAnsi="宋体"/>
                <w:szCs w:val="21"/>
              </w:rPr>
            </w:pPr>
            <w:r>
              <w:rPr>
                <w:rFonts w:hint="eastAsia" w:hAnsi="宋体"/>
                <w:szCs w:val="21"/>
              </w:rPr>
              <w:t>★域名分析：支持基于连接数、域名分析、客户时延、服务时延、应用延时、上下行流量的域名分析功能，提供系统功能配置界面。</w:t>
            </w:r>
          </w:p>
          <w:p w14:paraId="15F801B1">
            <w:pPr>
              <w:snapToGrid w:val="0"/>
              <w:spacing w:line="320" w:lineRule="exact"/>
              <w:jc w:val="left"/>
              <w:rPr>
                <w:rFonts w:hint="eastAsia" w:hAnsi="宋体"/>
                <w:szCs w:val="21"/>
              </w:rPr>
            </w:pPr>
            <w:r>
              <w:rPr>
                <w:rFonts w:hint="eastAsia" w:hAnsi="宋体"/>
                <w:szCs w:val="21"/>
              </w:rPr>
              <w:t>★DNS分析：支持基于用户分析维度的DNS访问次数、上下行流量的DNS分析，同时支持基于域名解析维度的访问次数统计分析，提供系统功能配置界面截图。</w:t>
            </w:r>
          </w:p>
          <w:p w14:paraId="138F5EE3">
            <w:pPr>
              <w:snapToGrid w:val="0"/>
              <w:spacing w:line="320" w:lineRule="exact"/>
              <w:jc w:val="left"/>
              <w:rPr>
                <w:rFonts w:hint="eastAsia" w:hAnsi="宋体"/>
                <w:szCs w:val="21"/>
              </w:rPr>
            </w:pPr>
            <w:r>
              <w:rPr>
                <w:rFonts w:hint="eastAsia" w:hAnsi="宋体"/>
                <w:szCs w:val="21"/>
              </w:rPr>
              <w:t>流量诊断：支持流量诊断功能：查询某一阶段全网的流量、连接数趋势图，精准定位到有问题的源、目的IP地址及协议。</w:t>
            </w:r>
          </w:p>
          <w:p w14:paraId="3501542B">
            <w:pPr>
              <w:snapToGrid w:val="0"/>
              <w:spacing w:line="320" w:lineRule="exact"/>
              <w:jc w:val="left"/>
              <w:rPr>
                <w:rFonts w:hint="eastAsia" w:hAnsi="宋体"/>
                <w:szCs w:val="21"/>
              </w:rPr>
            </w:pPr>
            <w:r>
              <w:rPr>
                <w:rFonts w:hint="eastAsia" w:hAnsi="宋体"/>
                <w:szCs w:val="21"/>
              </w:rPr>
              <w:t>流量分析-流量排名：支持基于源IP、目标IP、应用、端口的流量排名。</w:t>
            </w:r>
          </w:p>
          <w:p w14:paraId="760ECE85">
            <w:pPr>
              <w:snapToGrid w:val="0"/>
              <w:spacing w:line="320" w:lineRule="exact"/>
              <w:jc w:val="left"/>
              <w:rPr>
                <w:rFonts w:hint="eastAsia" w:hAnsi="宋体"/>
                <w:szCs w:val="21"/>
              </w:rPr>
            </w:pPr>
            <w:r>
              <w:rPr>
                <w:rFonts w:hint="eastAsia" w:hAnsi="宋体"/>
                <w:szCs w:val="21"/>
              </w:rPr>
              <w:t>★恶意目标端口流量统计查询：可针对指定时间访问内的特定目标端口做流量排名，例如针对勒索病毒的445端口进行流量统计，提供系统功能配置界面。</w:t>
            </w:r>
          </w:p>
          <w:p w14:paraId="46EA59D8">
            <w:pPr>
              <w:snapToGrid w:val="0"/>
              <w:spacing w:line="320" w:lineRule="exact"/>
              <w:jc w:val="left"/>
              <w:rPr>
                <w:rFonts w:hint="eastAsia" w:hAnsi="宋体"/>
                <w:szCs w:val="21"/>
              </w:rPr>
            </w:pPr>
            <w:r>
              <w:rPr>
                <w:rFonts w:hint="eastAsia" w:hAnsi="宋体"/>
                <w:szCs w:val="21"/>
              </w:rPr>
              <w:t>集群管理：支持集群管理功能，可添加2个以上集群节点，同时可以设置权重来灵活分配数据存储。</w:t>
            </w:r>
          </w:p>
          <w:p w14:paraId="06ACBB83">
            <w:pPr>
              <w:snapToGrid w:val="0"/>
              <w:spacing w:line="320" w:lineRule="exact"/>
              <w:jc w:val="left"/>
              <w:rPr>
                <w:rFonts w:hint="eastAsia" w:hAnsi="宋体"/>
                <w:szCs w:val="21"/>
              </w:rPr>
            </w:pPr>
            <w:r>
              <w:rPr>
                <w:rFonts w:hint="eastAsia" w:hAnsi="宋体"/>
                <w:szCs w:val="21"/>
              </w:rPr>
              <w:t>管理维护：支持中英文Web管理界面，安全的HTTPS、SSH管理方式。</w:t>
            </w:r>
          </w:p>
          <w:p w14:paraId="7C348F5B">
            <w:pPr>
              <w:snapToGrid w:val="0"/>
              <w:spacing w:line="320" w:lineRule="exact"/>
              <w:jc w:val="left"/>
              <w:rPr>
                <w:rFonts w:hint="eastAsia" w:hAnsi="宋体"/>
                <w:szCs w:val="21"/>
              </w:rPr>
            </w:pPr>
            <w:r>
              <w:rPr>
                <w:rFonts w:hint="eastAsia" w:hAnsi="宋体"/>
                <w:szCs w:val="21"/>
              </w:rPr>
              <w:t>报表管理：支持报表功能，至少支持带宽分析、应用访问分析、流量流向分析、DNS分析、跨境分析等模块。</w:t>
            </w:r>
          </w:p>
          <w:p w14:paraId="22E5FE34">
            <w:pPr>
              <w:snapToGrid w:val="0"/>
              <w:spacing w:line="320" w:lineRule="exact"/>
              <w:jc w:val="left"/>
              <w:rPr>
                <w:rFonts w:hint="eastAsia" w:hAnsi="宋体"/>
                <w:szCs w:val="21"/>
              </w:rPr>
            </w:pPr>
            <w:r>
              <w:rPr>
                <w:rFonts w:hint="eastAsia" w:hAnsi="宋体"/>
                <w:szCs w:val="21"/>
              </w:rPr>
              <w:t>其它要求：</w:t>
            </w:r>
          </w:p>
          <w:p w14:paraId="60BF349F">
            <w:pPr>
              <w:snapToGrid w:val="0"/>
              <w:spacing w:line="320" w:lineRule="exact"/>
              <w:jc w:val="left"/>
              <w:rPr>
                <w:rFonts w:hAnsi="宋体"/>
                <w:szCs w:val="21"/>
              </w:rPr>
            </w:pPr>
            <w:r>
              <w:rPr>
                <w:rFonts w:hint="eastAsia" w:hAnsi="宋体"/>
                <w:szCs w:val="21"/>
              </w:rPr>
              <w:t>1、★与本次采购的出口网关为同一品牌</w:t>
            </w:r>
          </w:p>
        </w:tc>
      </w:tr>
      <w:tr w14:paraId="4CB96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5" w:hRule="atLeast"/>
        </w:trPr>
        <w:tc>
          <w:tcPr>
            <w:tcW w:w="736" w:type="dxa"/>
            <w:tcBorders>
              <w:top w:val="single" w:color="auto" w:sz="4" w:space="0"/>
              <w:left w:val="single" w:color="auto" w:sz="4" w:space="0"/>
              <w:bottom w:val="single" w:color="auto" w:sz="4" w:space="0"/>
              <w:right w:val="single" w:color="auto" w:sz="4" w:space="0"/>
            </w:tcBorders>
            <w:vAlign w:val="center"/>
          </w:tcPr>
          <w:p w14:paraId="6BDFA699">
            <w:pPr>
              <w:snapToGrid w:val="0"/>
              <w:spacing w:line="320" w:lineRule="exact"/>
              <w:jc w:val="center"/>
              <w:rPr>
                <w:rFonts w:hint="eastAsia" w:ascii="宋体" w:hAnsi="宋体"/>
                <w:color w:val="000000"/>
                <w:szCs w:val="21"/>
              </w:rPr>
            </w:pPr>
            <w:r>
              <w:rPr>
                <w:rFonts w:hint="eastAsia" w:ascii="宋体" w:hAnsi="宋体"/>
                <w:color w:val="000000"/>
                <w:szCs w:val="21"/>
              </w:rPr>
              <w:t>3</w:t>
            </w:r>
          </w:p>
        </w:tc>
        <w:tc>
          <w:tcPr>
            <w:tcW w:w="1964" w:type="dxa"/>
            <w:gridSpan w:val="2"/>
            <w:tcBorders>
              <w:top w:val="single" w:color="auto" w:sz="4" w:space="0"/>
              <w:left w:val="single" w:color="auto" w:sz="4" w:space="0"/>
              <w:bottom w:val="single" w:color="auto" w:sz="4" w:space="0"/>
              <w:right w:val="single" w:color="auto" w:sz="4" w:space="0"/>
            </w:tcBorders>
            <w:vAlign w:val="center"/>
          </w:tcPr>
          <w:p w14:paraId="3C56AD02">
            <w:pPr>
              <w:bidi w:val="0"/>
              <w:jc w:val="center"/>
              <w:rPr>
                <w:rFonts w:ascii="宋体" w:hAnsi="宋体"/>
                <w:color w:val="000000"/>
                <w:szCs w:val="21"/>
              </w:rPr>
            </w:pPr>
            <w:r>
              <w:rPr>
                <w:rFonts w:hint="eastAsia"/>
              </w:rPr>
              <w:t>互联网线路</w:t>
            </w:r>
          </w:p>
        </w:tc>
        <w:tc>
          <w:tcPr>
            <w:tcW w:w="900" w:type="dxa"/>
            <w:tcBorders>
              <w:top w:val="single" w:color="auto" w:sz="4" w:space="0"/>
              <w:left w:val="single" w:color="auto" w:sz="4" w:space="0"/>
              <w:bottom w:val="single" w:color="auto" w:sz="4" w:space="0"/>
              <w:right w:val="single" w:color="auto" w:sz="4" w:space="0"/>
            </w:tcBorders>
            <w:vAlign w:val="center"/>
          </w:tcPr>
          <w:p w14:paraId="19911586">
            <w:pPr>
              <w:bidi w:val="0"/>
              <w:jc w:val="center"/>
              <w:rPr>
                <w:rFonts w:hint="default" w:eastAsia="宋体"/>
                <w:kern w:val="2"/>
                <w:sz w:val="21"/>
                <w:szCs w:val="21"/>
                <w:lang w:val="en-US" w:eastAsia="zh-CN" w:bidi="ar-SA"/>
              </w:rPr>
            </w:pPr>
            <w:r>
              <w:t>6</w:t>
            </w:r>
          </w:p>
        </w:tc>
        <w:tc>
          <w:tcPr>
            <w:tcW w:w="1426" w:type="dxa"/>
            <w:tcBorders>
              <w:top w:val="single" w:color="auto" w:sz="4" w:space="0"/>
              <w:left w:val="single" w:color="auto" w:sz="4" w:space="0"/>
              <w:bottom w:val="single" w:color="auto" w:sz="4" w:space="0"/>
              <w:right w:val="single" w:color="auto" w:sz="4" w:space="0"/>
            </w:tcBorders>
            <w:vAlign w:val="center"/>
          </w:tcPr>
          <w:p w14:paraId="62F49817">
            <w:pPr>
              <w:snapToGrid w:val="0"/>
              <w:spacing w:line="320" w:lineRule="exact"/>
              <w:jc w:val="left"/>
              <w:rPr>
                <w:rFonts w:hint="eastAsia" w:hAnsi="宋体" w:eastAsia="宋体"/>
                <w:szCs w:val="21"/>
                <w:lang w:eastAsia="zh-CN"/>
              </w:rPr>
            </w:pPr>
            <w:r>
              <w:rPr>
                <w:rFonts w:hint="eastAsia" w:hAnsi="宋体"/>
                <w:szCs w:val="21"/>
                <w:lang w:eastAsia="zh-CN"/>
              </w:rPr>
              <w:t>无</w:t>
            </w:r>
          </w:p>
        </w:tc>
        <w:tc>
          <w:tcPr>
            <w:tcW w:w="5414" w:type="dxa"/>
            <w:tcBorders>
              <w:top w:val="single" w:color="auto" w:sz="4" w:space="0"/>
              <w:left w:val="single" w:color="auto" w:sz="4" w:space="0"/>
              <w:bottom w:val="single" w:color="auto" w:sz="4" w:space="0"/>
              <w:right w:val="single" w:color="auto" w:sz="4" w:space="0"/>
            </w:tcBorders>
            <w:vAlign w:val="center"/>
          </w:tcPr>
          <w:p w14:paraId="52F10AB1">
            <w:pPr>
              <w:snapToGrid w:val="0"/>
              <w:spacing w:line="320" w:lineRule="exact"/>
              <w:jc w:val="left"/>
              <w:rPr>
                <w:rFonts w:hint="eastAsia" w:hAnsi="宋体"/>
                <w:szCs w:val="21"/>
              </w:rPr>
            </w:pPr>
            <w:r>
              <w:rPr>
                <w:rFonts w:hint="eastAsia" w:hAnsi="宋体"/>
                <w:szCs w:val="21"/>
              </w:rPr>
              <w:t>1G下行、50M上行、动态ip、非专线，跨省、跨境互联连通性及延时与互联网专线类产品相当</w:t>
            </w:r>
          </w:p>
          <w:p w14:paraId="567820BD">
            <w:pPr>
              <w:snapToGrid w:val="0"/>
              <w:spacing w:line="320" w:lineRule="exact"/>
              <w:jc w:val="left"/>
              <w:rPr>
                <w:rFonts w:hAnsi="宋体"/>
                <w:szCs w:val="21"/>
              </w:rPr>
            </w:pPr>
            <w:r>
              <w:rPr>
                <w:rFonts w:hint="eastAsia" w:hAnsi="宋体"/>
                <w:szCs w:val="21"/>
              </w:rPr>
              <w:t>提供10G Bras直连物理线路至原桂林信息科技学院行政楼2楼机房</w:t>
            </w:r>
          </w:p>
        </w:tc>
      </w:tr>
      <w:tr w14:paraId="3B513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5" w:hRule="atLeast"/>
        </w:trPr>
        <w:tc>
          <w:tcPr>
            <w:tcW w:w="736" w:type="dxa"/>
            <w:tcBorders>
              <w:top w:val="single" w:color="auto" w:sz="4" w:space="0"/>
              <w:left w:val="single" w:color="auto" w:sz="4" w:space="0"/>
              <w:bottom w:val="single" w:color="auto" w:sz="4" w:space="0"/>
              <w:right w:val="single" w:color="auto" w:sz="4" w:space="0"/>
            </w:tcBorders>
            <w:vAlign w:val="center"/>
          </w:tcPr>
          <w:p w14:paraId="5F1CB6FF">
            <w:pPr>
              <w:snapToGrid w:val="0"/>
              <w:spacing w:line="320" w:lineRule="exact"/>
              <w:jc w:val="center"/>
              <w:rPr>
                <w:rFonts w:hint="eastAsia" w:ascii="宋体" w:hAnsi="宋体"/>
                <w:color w:val="000000"/>
                <w:szCs w:val="21"/>
              </w:rPr>
            </w:pPr>
            <w:r>
              <w:rPr>
                <w:rFonts w:hint="eastAsia" w:ascii="宋体" w:hAnsi="宋体"/>
                <w:color w:val="000000"/>
                <w:szCs w:val="21"/>
              </w:rPr>
              <w:t>4</w:t>
            </w:r>
          </w:p>
        </w:tc>
        <w:tc>
          <w:tcPr>
            <w:tcW w:w="1964" w:type="dxa"/>
            <w:gridSpan w:val="2"/>
            <w:tcBorders>
              <w:top w:val="single" w:color="auto" w:sz="4" w:space="0"/>
              <w:left w:val="single" w:color="auto" w:sz="4" w:space="0"/>
              <w:bottom w:val="single" w:color="auto" w:sz="4" w:space="0"/>
              <w:right w:val="single" w:color="auto" w:sz="4" w:space="0"/>
            </w:tcBorders>
            <w:vAlign w:val="center"/>
          </w:tcPr>
          <w:p w14:paraId="4CDDF77B">
            <w:pPr>
              <w:bidi w:val="0"/>
              <w:jc w:val="center"/>
              <w:rPr>
                <w:rFonts w:ascii="宋体" w:hAnsi="宋体"/>
                <w:color w:val="000000"/>
                <w:szCs w:val="21"/>
              </w:rPr>
            </w:pPr>
            <w:r>
              <w:rPr>
                <w:rFonts w:hint="eastAsia"/>
              </w:rPr>
              <w:t>PoE交换机</w:t>
            </w:r>
          </w:p>
        </w:tc>
        <w:tc>
          <w:tcPr>
            <w:tcW w:w="900" w:type="dxa"/>
            <w:tcBorders>
              <w:top w:val="single" w:color="auto" w:sz="4" w:space="0"/>
              <w:left w:val="single" w:color="auto" w:sz="4" w:space="0"/>
              <w:bottom w:val="single" w:color="auto" w:sz="4" w:space="0"/>
              <w:right w:val="single" w:color="auto" w:sz="4" w:space="0"/>
            </w:tcBorders>
            <w:vAlign w:val="center"/>
          </w:tcPr>
          <w:p w14:paraId="2BB13F24">
            <w:pPr>
              <w:bidi w:val="0"/>
              <w:jc w:val="center"/>
              <w:rPr>
                <w:rFonts w:hint="default" w:eastAsia="宋体"/>
                <w:kern w:val="2"/>
                <w:sz w:val="21"/>
                <w:szCs w:val="21"/>
                <w:lang w:val="en-US" w:eastAsia="zh-CN" w:bidi="ar-SA"/>
              </w:rPr>
            </w:pPr>
            <w:r>
              <w:t>1</w:t>
            </w:r>
          </w:p>
        </w:tc>
        <w:tc>
          <w:tcPr>
            <w:tcW w:w="1426" w:type="dxa"/>
            <w:tcBorders>
              <w:top w:val="single" w:color="auto" w:sz="4" w:space="0"/>
              <w:left w:val="single" w:color="auto" w:sz="4" w:space="0"/>
              <w:bottom w:val="single" w:color="auto" w:sz="4" w:space="0"/>
              <w:right w:val="single" w:color="auto" w:sz="4" w:space="0"/>
            </w:tcBorders>
            <w:vAlign w:val="center"/>
          </w:tcPr>
          <w:p w14:paraId="54254C21">
            <w:pPr>
              <w:snapToGrid w:val="0"/>
              <w:spacing w:line="320" w:lineRule="exact"/>
              <w:jc w:val="left"/>
              <w:rPr>
                <w:rFonts w:hAnsi="宋体"/>
                <w:szCs w:val="21"/>
              </w:rPr>
            </w:pPr>
          </w:p>
          <w:p w14:paraId="7CEC7EC0">
            <w:pPr>
              <w:bidi w:val="0"/>
              <w:jc w:val="center"/>
              <w:rPr>
                <w:kern w:val="2"/>
                <w:sz w:val="21"/>
                <w:szCs w:val="24"/>
                <w:lang w:val="en-US" w:eastAsia="zh-CN" w:bidi="ar-SA"/>
              </w:rPr>
            </w:pPr>
            <w:r>
              <w:rPr>
                <w:rFonts w:hint="eastAsia"/>
                <w:kern w:val="2"/>
                <w:sz w:val="21"/>
                <w:szCs w:val="24"/>
                <w:lang w:val="en-US" w:eastAsia="zh-CN" w:bidi="ar-SA"/>
              </w:rPr>
              <w:t>RG-S5315-24MG6XS-UP-E</w:t>
            </w:r>
          </w:p>
        </w:tc>
        <w:tc>
          <w:tcPr>
            <w:tcW w:w="5414" w:type="dxa"/>
            <w:tcBorders>
              <w:top w:val="single" w:color="auto" w:sz="4" w:space="0"/>
              <w:left w:val="single" w:color="auto" w:sz="4" w:space="0"/>
              <w:bottom w:val="single" w:color="auto" w:sz="4" w:space="0"/>
              <w:right w:val="single" w:color="auto" w:sz="4" w:space="0"/>
            </w:tcBorders>
            <w:vAlign w:val="center"/>
          </w:tcPr>
          <w:p w14:paraId="10485BB0">
            <w:pPr>
              <w:snapToGrid w:val="0"/>
              <w:spacing w:line="320" w:lineRule="exact"/>
              <w:jc w:val="left"/>
              <w:rPr>
                <w:rFonts w:hint="eastAsia" w:hAnsi="宋体"/>
                <w:szCs w:val="21"/>
              </w:rPr>
            </w:pPr>
            <w:r>
              <w:rPr>
                <w:rFonts w:hint="eastAsia" w:hAnsi="宋体"/>
                <w:szCs w:val="21"/>
              </w:rPr>
              <w:t>1.▲提供100M/1G/2.5G 以太网端口≥24，10G/2.5G/1G SFP+光接口≥6个；</w:t>
            </w:r>
          </w:p>
          <w:p w14:paraId="624BF9C6">
            <w:pPr>
              <w:snapToGrid w:val="0"/>
              <w:spacing w:line="320" w:lineRule="exact"/>
              <w:jc w:val="left"/>
              <w:rPr>
                <w:rFonts w:hint="eastAsia" w:hAnsi="宋体"/>
                <w:szCs w:val="21"/>
              </w:rPr>
            </w:pPr>
            <w:r>
              <w:rPr>
                <w:rFonts w:hint="eastAsia" w:hAnsi="宋体"/>
                <w:szCs w:val="21"/>
              </w:rPr>
              <w:t>2.▲交换容量≥1Tbps，包转发率≥220Mpps；</w:t>
            </w:r>
          </w:p>
          <w:p w14:paraId="6A02D452">
            <w:pPr>
              <w:snapToGrid w:val="0"/>
              <w:spacing w:line="320" w:lineRule="exact"/>
              <w:jc w:val="left"/>
              <w:rPr>
                <w:rFonts w:hint="eastAsia" w:hAnsi="宋体"/>
                <w:szCs w:val="21"/>
              </w:rPr>
            </w:pPr>
            <w:r>
              <w:rPr>
                <w:rFonts w:hint="eastAsia" w:hAnsi="宋体"/>
                <w:szCs w:val="21"/>
              </w:rPr>
              <w:t>3.▲支持双电源PoE输出功率≥1600W，支持PoE/PoE+/PoE++远程供电，PoE++同时可供电端口数≥24个；配置1000W交流电源2块。</w:t>
            </w:r>
          </w:p>
          <w:p w14:paraId="10385405">
            <w:pPr>
              <w:snapToGrid w:val="0"/>
              <w:spacing w:line="320" w:lineRule="exact"/>
              <w:jc w:val="left"/>
              <w:rPr>
                <w:rFonts w:hint="eastAsia" w:hAnsi="宋体"/>
                <w:szCs w:val="21"/>
              </w:rPr>
            </w:pPr>
            <w:r>
              <w:rPr>
                <w:rFonts w:hint="eastAsia" w:hAnsi="宋体"/>
                <w:szCs w:val="21"/>
              </w:rPr>
              <w:t>4.★产品端口浪涌抗扰度≥10KV，即具备10KV的防雷能力；提供官网截图及链接或产品彩页或第三方检测报告证明；</w:t>
            </w:r>
          </w:p>
          <w:p w14:paraId="2ADA2EDD">
            <w:pPr>
              <w:snapToGrid w:val="0"/>
              <w:spacing w:line="320" w:lineRule="exact"/>
              <w:jc w:val="left"/>
              <w:rPr>
                <w:rFonts w:hint="eastAsia" w:hAnsi="宋体"/>
                <w:szCs w:val="21"/>
              </w:rPr>
            </w:pPr>
            <w:r>
              <w:rPr>
                <w:rFonts w:hint="eastAsia" w:hAnsi="宋体"/>
                <w:szCs w:val="21"/>
              </w:rPr>
              <w:t>5.支持IPv4和IPv6的静态路由、RIP/RIPng、OSPFv2/OSPFv3等三层路由协议。</w:t>
            </w:r>
          </w:p>
          <w:p w14:paraId="5B74AB2A">
            <w:pPr>
              <w:snapToGrid w:val="0"/>
              <w:spacing w:line="320" w:lineRule="exact"/>
              <w:jc w:val="left"/>
              <w:rPr>
                <w:rFonts w:hint="eastAsia" w:hAnsi="宋体"/>
                <w:szCs w:val="21"/>
              </w:rPr>
            </w:pPr>
            <w:r>
              <w:rPr>
                <w:rFonts w:hint="eastAsia" w:hAnsi="宋体"/>
                <w:szCs w:val="21"/>
              </w:rPr>
              <w:t>6.支持CPU保护功能，能限制非法报文对CPU的攻击，保护交换机在各种环境下稳定工作；</w:t>
            </w:r>
          </w:p>
          <w:p w14:paraId="29DCD78F">
            <w:pPr>
              <w:snapToGrid w:val="0"/>
              <w:spacing w:line="320" w:lineRule="exact"/>
              <w:jc w:val="left"/>
              <w:rPr>
                <w:rFonts w:hint="eastAsia" w:hAnsi="宋体"/>
                <w:szCs w:val="21"/>
              </w:rPr>
            </w:pPr>
            <w:r>
              <w:rPr>
                <w:rFonts w:hint="eastAsia" w:hAnsi="宋体"/>
                <w:szCs w:val="21"/>
              </w:rPr>
              <w:t>支持专门基础网络保护机制，支持限制用户向网络中发送数据包的速率，对有攻击行为的用户进行隔离，保证设备和整网的安全稳定运行；</w:t>
            </w:r>
          </w:p>
          <w:p w14:paraId="0293B247">
            <w:pPr>
              <w:snapToGrid w:val="0"/>
              <w:spacing w:line="320" w:lineRule="exact"/>
              <w:jc w:val="left"/>
              <w:rPr>
                <w:rFonts w:hint="eastAsia" w:hAnsi="宋体"/>
                <w:szCs w:val="21"/>
              </w:rPr>
            </w:pPr>
            <w:r>
              <w:rPr>
                <w:rFonts w:hint="eastAsia" w:hAnsi="宋体"/>
                <w:szCs w:val="21"/>
              </w:rPr>
              <w:t>7.支持快速以太网链路检测协议，可快速检测链路的通断和光纤链路的单向性，并支持端口下的环路检测功能</w:t>
            </w:r>
          </w:p>
          <w:p w14:paraId="402F25AE">
            <w:pPr>
              <w:snapToGrid w:val="0"/>
              <w:spacing w:line="320" w:lineRule="exact"/>
              <w:jc w:val="left"/>
              <w:rPr>
                <w:rFonts w:hint="eastAsia" w:hAnsi="宋体"/>
                <w:szCs w:val="21"/>
              </w:rPr>
            </w:pPr>
            <w:r>
              <w:rPr>
                <w:rFonts w:hint="eastAsia" w:hAnsi="宋体"/>
                <w:szCs w:val="21"/>
              </w:rPr>
              <w:t>8.支持虚拟化功能，即可将多台物理设备虚拟化为一台逻辑设备统一管理，并且链路故障的收敛时间≤200ms；</w:t>
            </w:r>
          </w:p>
          <w:p w14:paraId="59869609">
            <w:pPr>
              <w:snapToGrid w:val="0"/>
              <w:spacing w:line="320" w:lineRule="exact"/>
              <w:jc w:val="left"/>
              <w:rPr>
                <w:rFonts w:hint="eastAsia" w:hAnsi="宋体"/>
                <w:szCs w:val="21"/>
              </w:rPr>
            </w:pPr>
            <w:r>
              <w:rPr>
                <w:rFonts w:hint="eastAsia" w:hAnsi="宋体"/>
                <w:szCs w:val="21"/>
              </w:rPr>
              <w:t>9.支持SNMP、CLI(Telnet/Console)、RMON、SSH、Syslog、NTP/SNTP、FTP、TFTP、Web。</w:t>
            </w:r>
          </w:p>
          <w:p w14:paraId="7D7BB870">
            <w:pPr>
              <w:snapToGrid w:val="0"/>
              <w:spacing w:line="320" w:lineRule="exact"/>
              <w:jc w:val="left"/>
              <w:rPr>
                <w:rFonts w:hint="eastAsia" w:hAnsi="宋体"/>
                <w:szCs w:val="21"/>
              </w:rPr>
            </w:pPr>
            <w:r>
              <w:rPr>
                <w:rFonts w:hint="eastAsia" w:hAnsi="宋体"/>
                <w:szCs w:val="21"/>
              </w:rPr>
              <w:t>10.设备自带支持云管理功能，支持一键设备发现，并在线生成交付验收报告；支持一键全网巡检操作，随时随地掌握网络健康状况，并自动生成巡检报告；支持短信认证、微信认证、web认证，支持认证页面自定义；支持一键升级、定时升级网络中的网络设备；支持分级分权功能，实现分布区域，统一管理等。</w:t>
            </w:r>
          </w:p>
          <w:p w14:paraId="04B14B8E">
            <w:pPr>
              <w:snapToGrid w:val="0"/>
              <w:spacing w:line="320" w:lineRule="exact"/>
              <w:jc w:val="left"/>
              <w:rPr>
                <w:rFonts w:hAnsi="宋体"/>
                <w:szCs w:val="21"/>
              </w:rPr>
            </w:pPr>
            <w:r>
              <w:rPr>
                <w:rFonts w:hint="eastAsia" w:hAnsi="宋体"/>
                <w:szCs w:val="21"/>
              </w:rPr>
              <w:t>11、★与本次采购的无线AC必须为同一品牌</w:t>
            </w:r>
          </w:p>
        </w:tc>
      </w:tr>
      <w:tr w14:paraId="741D7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5" w:hRule="atLeast"/>
        </w:trPr>
        <w:tc>
          <w:tcPr>
            <w:tcW w:w="736" w:type="dxa"/>
            <w:tcBorders>
              <w:top w:val="single" w:color="auto" w:sz="4" w:space="0"/>
              <w:left w:val="single" w:color="auto" w:sz="4" w:space="0"/>
              <w:bottom w:val="single" w:color="auto" w:sz="4" w:space="0"/>
              <w:right w:val="single" w:color="auto" w:sz="4" w:space="0"/>
            </w:tcBorders>
            <w:vAlign w:val="center"/>
          </w:tcPr>
          <w:p w14:paraId="03CEA388">
            <w:pPr>
              <w:snapToGrid w:val="0"/>
              <w:spacing w:line="320" w:lineRule="exact"/>
              <w:jc w:val="center"/>
              <w:rPr>
                <w:rFonts w:hint="eastAsia" w:ascii="宋体" w:hAnsi="宋体"/>
                <w:color w:val="000000"/>
                <w:szCs w:val="21"/>
              </w:rPr>
            </w:pPr>
            <w:r>
              <w:rPr>
                <w:rFonts w:hint="eastAsia" w:ascii="宋体" w:hAnsi="宋体"/>
                <w:color w:val="000000"/>
                <w:szCs w:val="21"/>
              </w:rPr>
              <w:t>5</w:t>
            </w:r>
          </w:p>
        </w:tc>
        <w:tc>
          <w:tcPr>
            <w:tcW w:w="1964" w:type="dxa"/>
            <w:gridSpan w:val="2"/>
            <w:tcBorders>
              <w:top w:val="single" w:color="auto" w:sz="4" w:space="0"/>
              <w:left w:val="single" w:color="auto" w:sz="4" w:space="0"/>
              <w:bottom w:val="single" w:color="auto" w:sz="4" w:space="0"/>
              <w:right w:val="single" w:color="auto" w:sz="4" w:space="0"/>
            </w:tcBorders>
            <w:vAlign w:val="center"/>
          </w:tcPr>
          <w:p w14:paraId="367C3B83">
            <w:pPr>
              <w:bidi w:val="0"/>
              <w:jc w:val="center"/>
              <w:rPr>
                <w:rFonts w:ascii="宋体" w:hAnsi="宋体"/>
                <w:color w:val="000000"/>
                <w:szCs w:val="21"/>
              </w:rPr>
            </w:pPr>
            <w:r>
              <w:rPr>
                <w:rFonts w:hint="eastAsia"/>
                <w:lang w:val="en-US" w:eastAsia="zh-CN"/>
              </w:rPr>
              <w:t>无线AC</w:t>
            </w:r>
          </w:p>
        </w:tc>
        <w:tc>
          <w:tcPr>
            <w:tcW w:w="900" w:type="dxa"/>
            <w:tcBorders>
              <w:top w:val="single" w:color="auto" w:sz="4" w:space="0"/>
              <w:left w:val="single" w:color="auto" w:sz="4" w:space="0"/>
              <w:bottom w:val="single" w:color="auto" w:sz="4" w:space="0"/>
              <w:right w:val="single" w:color="auto" w:sz="4" w:space="0"/>
            </w:tcBorders>
            <w:vAlign w:val="center"/>
          </w:tcPr>
          <w:p w14:paraId="13D86B1A">
            <w:pPr>
              <w:bidi w:val="0"/>
              <w:jc w:val="center"/>
              <w:rPr>
                <w:rFonts w:hint="default" w:eastAsia="宋体"/>
                <w:kern w:val="2"/>
                <w:sz w:val="21"/>
                <w:szCs w:val="21"/>
                <w:lang w:val="en-US" w:eastAsia="zh-CN" w:bidi="ar-SA"/>
              </w:rPr>
            </w:pPr>
            <w:r>
              <w:t>1</w:t>
            </w:r>
          </w:p>
        </w:tc>
        <w:tc>
          <w:tcPr>
            <w:tcW w:w="1426" w:type="dxa"/>
            <w:tcBorders>
              <w:top w:val="single" w:color="auto" w:sz="4" w:space="0"/>
              <w:left w:val="single" w:color="auto" w:sz="4" w:space="0"/>
              <w:bottom w:val="single" w:color="auto" w:sz="4" w:space="0"/>
              <w:right w:val="single" w:color="auto" w:sz="4" w:space="0"/>
            </w:tcBorders>
            <w:vAlign w:val="center"/>
          </w:tcPr>
          <w:p w14:paraId="2AFE809B">
            <w:pPr>
              <w:snapToGrid w:val="0"/>
              <w:spacing w:line="320" w:lineRule="exact"/>
              <w:jc w:val="left"/>
              <w:rPr>
                <w:rFonts w:hAnsi="宋体"/>
                <w:szCs w:val="21"/>
              </w:rPr>
            </w:pPr>
            <w:r>
              <w:rPr>
                <w:rFonts w:hint="eastAsia" w:hAnsi="宋体"/>
                <w:szCs w:val="21"/>
              </w:rPr>
              <w:t>RG-WS7204-A</w:t>
            </w:r>
          </w:p>
        </w:tc>
        <w:tc>
          <w:tcPr>
            <w:tcW w:w="5414" w:type="dxa"/>
            <w:tcBorders>
              <w:top w:val="single" w:color="auto" w:sz="4" w:space="0"/>
              <w:left w:val="single" w:color="auto" w:sz="4" w:space="0"/>
              <w:bottom w:val="single" w:color="auto" w:sz="4" w:space="0"/>
              <w:right w:val="single" w:color="auto" w:sz="4" w:space="0"/>
            </w:tcBorders>
            <w:vAlign w:val="center"/>
          </w:tcPr>
          <w:p w14:paraId="3848A7FF">
            <w:pPr>
              <w:snapToGrid w:val="0"/>
              <w:spacing w:line="320" w:lineRule="exact"/>
              <w:jc w:val="left"/>
              <w:rPr>
                <w:rFonts w:hint="eastAsia" w:hAnsi="宋体"/>
                <w:szCs w:val="21"/>
              </w:rPr>
            </w:pPr>
            <w:r>
              <w:rPr>
                <w:rFonts w:hint="eastAsia" w:hAnsi="宋体"/>
                <w:szCs w:val="21"/>
              </w:rPr>
              <w:t>1.▲标准1U机架式结构；简化运维，便于快速传输配置文件，至少固化1个USB接口；</w:t>
            </w:r>
          </w:p>
          <w:p w14:paraId="05ACF480">
            <w:pPr>
              <w:snapToGrid w:val="0"/>
              <w:spacing w:line="320" w:lineRule="exact"/>
              <w:jc w:val="left"/>
              <w:rPr>
                <w:rFonts w:hint="eastAsia" w:hAnsi="宋体"/>
                <w:szCs w:val="21"/>
              </w:rPr>
            </w:pPr>
            <w:r>
              <w:rPr>
                <w:rFonts w:hint="eastAsia" w:hAnsi="宋体"/>
                <w:szCs w:val="21"/>
              </w:rPr>
              <w:t>2.▲内部实配硬盘插槽，且实配硬盘容量≥1T；</w:t>
            </w:r>
          </w:p>
          <w:p w14:paraId="72DD0BC0">
            <w:pPr>
              <w:snapToGrid w:val="0"/>
              <w:spacing w:line="320" w:lineRule="exact"/>
              <w:jc w:val="left"/>
              <w:rPr>
                <w:rFonts w:hint="eastAsia" w:hAnsi="宋体"/>
                <w:szCs w:val="21"/>
              </w:rPr>
            </w:pPr>
            <w:r>
              <w:rPr>
                <w:rFonts w:hint="eastAsia" w:hAnsi="宋体"/>
                <w:szCs w:val="21"/>
              </w:rPr>
              <w:t>3.▲固化千兆电口≥8个，固化千兆光口≥1个；固化万兆光口≥1个；支持内存≥4G；</w:t>
            </w:r>
          </w:p>
          <w:p w14:paraId="4C7FE8B0">
            <w:pPr>
              <w:snapToGrid w:val="0"/>
              <w:spacing w:line="320" w:lineRule="exact"/>
              <w:jc w:val="left"/>
              <w:rPr>
                <w:rFonts w:hint="eastAsia" w:hAnsi="宋体"/>
                <w:szCs w:val="21"/>
              </w:rPr>
            </w:pPr>
            <w:r>
              <w:rPr>
                <w:rFonts w:hint="eastAsia" w:hAnsi="宋体"/>
                <w:szCs w:val="21"/>
              </w:rPr>
              <w:t>4.▲集中转发AP最大可管理数≥128；本地转发AP最大可管理数≥800；出厂默认AP可管理数≥96个；</w:t>
            </w:r>
          </w:p>
          <w:p w14:paraId="64CD4A75">
            <w:pPr>
              <w:snapToGrid w:val="0"/>
              <w:spacing w:line="320" w:lineRule="exact"/>
              <w:jc w:val="left"/>
              <w:rPr>
                <w:rFonts w:hint="eastAsia" w:hAnsi="宋体"/>
                <w:szCs w:val="21"/>
              </w:rPr>
            </w:pPr>
            <w:r>
              <w:rPr>
                <w:rFonts w:hint="eastAsia" w:hAnsi="宋体"/>
                <w:szCs w:val="21"/>
              </w:rPr>
              <w:t>5.要求设备可配置AP的本地数据转发技术模式，即可根据网络的SSID和用户VLAN的规划，决定数据是否需要全部经过无线AC转发或直接进入有线网络进行本地交换，从而更好的适应未来无线网络更高流量传输的要求；</w:t>
            </w:r>
          </w:p>
          <w:p w14:paraId="1E15E61F">
            <w:pPr>
              <w:snapToGrid w:val="0"/>
              <w:spacing w:line="320" w:lineRule="exact"/>
              <w:jc w:val="left"/>
              <w:rPr>
                <w:rFonts w:hint="eastAsia" w:hAnsi="宋体"/>
                <w:szCs w:val="21"/>
              </w:rPr>
            </w:pPr>
            <w:r>
              <w:rPr>
                <w:rFonts w:hint="eastAsia" w:hAnsi="宋体"/>
                <w:szCs w:val="21"/>
              </w:rPr>
              <w:t>6.支持内置portal认证页面定制，有专业知识的人员可以定义任何页面，做到完全自定义包上传；</w:t>
            </w:r>
          </w:p>
          <w:p w14:paraId="2757C128">
            <w:pPr>
              <w:snapToGrid w:val="0"/>
              <w:spacing w:line="320" w:lineRule="exact"/>
              <w:jc w:val="left"/>
              <w:rPr>
                <w:rFonts w:hint="eastAsia" w:hAnsi="宋体"/>
                <w:szCs w:val="21"/>
              </w:rPr>
            </w:pPr>
            <w:r>
              <w:rPr>
                <w:rFonts w:hint="eastAsia" w:hAnsi="宋体"/>
                <w:szCs w:val="21"/>
              </w:rPr>
              <w:t>7.支持将用户上下线信息发送给第三方系统；</w:t>
            </w:r>
          </w:p>
          <w:p w14:paraId="1C230B4A">
            <w:pPr>
              <w:snapToGrid w:val="0"/>
              <w:spacing w:line="320" w:lineRule="exact"/>
              <w:jc w:val="left"/>
              <w:rPr>
                <w:rFonts w:hint="eastAsia" w:hAnsi="宋体"/>
                <w:szCs w:val="21"/>
              </w:rPr>
            </w:pPr>
            <w:r>
              <w:rPr>
                <w:rFonts w:hint="eastAsia" w:hAnsi="宋体"/>
                <w:szCs w:val="21"/>
              </w:rPr>
              <w:t>8.支持实时频谱防护，可视化射频干扰源对无线局域网的性能的影响；</w:t>
            </w:r>
          </w:p>
          <w:p w14:paraId="27C88D8A">
            <w:pPr>
              <w:snapToGrid w:val="0"/>
              <w:spacing w:line="320" w:lineRule="exact"/>
              <w:jc w:val="left"/>
              <w:rPr>
                <w:rFonts w:hint="eastAsia" w:hAnsi="宋体"/>
                <w:szCs w:val="21"/>
              </w:rPr>
            </w:pPr>
            <w:r>
              <w:rPr>
                <w:rFonts w:hint="eastAsia" w:hAnsi="宋体"/>
                <w:szCs w:val="21"/>
              </w:rPr>
              <w:t>9.保障网络中的哑终端在迁移时无需配置，无线控制器能够对哑终端提供策略随行；</w:t>
            </w:r>
          </w:p>
          <w:p w14:paraId="51AACE39">
            <w:pPr>
              <w:snapToGrid w:val="0"/>
              <w:spacing w:line="320" w:lineRule="exact"/>
              <w:jc w:val="left"/>
              <w:rPr>
                <w:rFonts w:hint="eastAsia" w:hAnsi="宋体"/>
                <w:szCs w:val="21"/>
              </w:rPr>
            </w:pPr>
            <w:r>
              <w:rPr>
                <w:rFonts w:hint="eastAsia" w:hAnsi="宋体"/>
                <w:szCs w:val="21"/>
              </w:rPr>
              <w:t>10.为便于网络资产管理快速定位哑终端的网络位置，无线控制器能够对哑终端进行位置识别；</w:t>
            </w:r>
          </w:p>
          <w:p w14:paraId="335D6ACB">
            <w:pPr>
              <w:snapToGrid w:val="0"/>
              <w:spacing w:line="320" w:lineRule="exact"/>
              <w:jc w:val="left"/>
              <w:rPr>
                <w:rFonts w:hint="eastAsia" w:hAnsi="宋体"/>
                <w:szCs w:val="21"/>
              </w:rPr>
            </w:pPr>
            <w:r>
              <w:rPr>
                <w:rFonts w:hint="eastAsia" w:hAnsi="宋体"/>
                <w:szCs w:val="21"/>
              </w:rPr>
              <w:t>11.为方便终端在不同网段之间移动办公，无线控制器能够对终端进行MAC/DHCP地址段绑定，实现用户终端的策略随行，IP地址不变、策略不变；</w:t>
            </w:r>
          </w:p>
          <w:p w14:paraId="076E41D4">
            <w:pPr>
              <w:snapToGrid w:val="0"/>
              <w:spacing w:line="320" w:lineRule="exact"/>
              <w:jc w:val="left"/>
              <w:rPr>
                <w:rFonts w:hint="eastAsia" w:hAnsi="宋体"/>
                <w:szCs w:val="21"/>
              </w:rPr>
            </w:pPr>
            <w:r>
              <w:rPr>
                <w:rFonts w:hint="eastAsia" w:hAnsi="宋体"/>
                <w:szCs w:val="21"/>
              </w:rPr>
              <w:t>12.为方便终端在有线无线网络之间切换，无线控制器能够支持有线无线一体化功能，实现同一个用户组获取相同网段的IP地址，用户迁移可以保障IP地址不变更，策略保持一样；</w:t>
            </w:r>
          </w:p>
          <w:p w14:paraId="2D6E48BF">
            <w:pPr>
              <w:snapToGrid w:val="0"/>
              <w:spacing w:line="320" w:lineRule="exact"/>
              <w:jc w:val="left"/>
              <w:rPr>
                <w:rFonts w:hint="eastAsia" w:hAnsi="宋体"/>
                <w:szCs w:val="21"/>
              </w:rPr>
            </w:pPr>
            <w:r>
              <w:rPr>
                <w:rFonts w:hint="eastAsia" w:hAnsi="宋体"/>
                <w:szCs w:val="21"/>
              </w:rPr>
              <w:t>13.支持短信认证、固定账号认证、访客二维码、微信认证多种方式认证页面合一，由用户选择自己想要的认证方式进行认证上网；支持中移动portal2.0认证；</w:t>
            </w:r>
          </w:p>
          <w:p w14:paraId="4D90F332">
            <w:pPr>
              <w:snapToGrid w:val="0"/>
              <w:spacing w:line="320" w:lineRule="exact"/>
              <w:jc w:val="left"/>
              <w:rPr>
                <w:rFonts w:hint="eastAsia" w:hAnsi="宋体"/>
                <w:szCs w:val="21"/>
              </w:rPr>
            </w:pPr>
            <w:r>
              <w:rPr>
                <w:rFonts w:hint="eastAsia" w:hAnsi="宋体"/>
                <w:szCs w:val="21"/>
              </w:rPr>
              <w:t>14.★支持AP体验分析，统计不同AP的所有终端的上下线失败次数，平均信号强度、平均丢包率、平均时延参数，支持排序方便定位问题，提供官网截图及链接或产品彩页或第三方测试报告证明；</w:t>
            </w:r>
          </w:p>
          <w:p w14:paraId="54FAF074">
            <w:pPr>
              <w:snapToGrid w:val="0"/>
              <w:spacing w:line="320" w:lineRule="exact"/>
              <w:jc w:val="left"/>
              <w:rPr>
                <w:rFonts w:hAnsi="宋体"/>
                <w:szCs w:val="21"/>
              </w:rPr>
            </w:pPr>
            <w:r>
              <w:rPr>
                <w:rFonts w:hint="eastAsia" w:hAnsi="宋体"/>
                <w:szCs w:val="21"/>
              </w:rPr>
              <w:t>15、★与本次采购的无线AP必须为同一品牌</w:t>
            </w:r>
          </w:p>
        </w:tc>
      </w:tr>
      <w:tr w14:paraId="4E180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5" w:hRule="atLeast"/>
        </w:trPr>
        <w:tc>
          <w:tcPr>
            <w:tcW w:w="736" w:type="dxa"/>
            <w:tcBorders>
              <w:top w:val="single" w:color="auto" w:sz="4" w:space="0"/>
              <w:left w:val="single" w:color="auto" w:sz="4" w:space="0"/>
              <w:bottom w:val="single" w:color="auto" w:sz="4" w:space="0"/>
              <w:right w:val="single" w:color="auto" w:sz="4" w:space="0"/>
            </w:tcBorders>
            <w:vAlign w:val="center"/>
          </w:tcPr>
          <w:p w14:paraId="5C0241A6">
            <w:pPr>
              <w:snapToGrid w:val="0"/>
              <w:spacing w:line="320" w:lineRule="exact"/>
              <w:jc w:val="center"/>
              <w:rPr>
                <w:rFonts w:hint="eastAsia" w:ascii="宋体" w:hAnsi="宋体"/>
                <w:color w:val="000000"/>
                <w:szCs w:val="21"/>
              </w:rPr>
            </w:pPr>
            <w:r>
              <w:rPr>
                <w:rFonts w:hint="eastAsia" w:ascii="宋体" w:hAnsi="宋体"/>
                <w:color w:val="000000"/>
                <w:szCs w:val="21"/>
              </w:rPr>
              <w:t>6</w:t>
            </w:r>
          </w:p>
        </w:tc>
        <w:tc>
          <w:tcPr>
            <w:tcW w:w="1964" w:type="dxa"/>
            <w:gridSpan w:val="2"/>
            <w:tcBorders>
              <w:top w:val="single" w:color="auto" w:sz="4" w:space="0"/>
              <w:left w:val="single" w:color="auto" w:sz="4" w:space="0"/>
              <w:bottom w:val="single" w:color="auto" w:sz="4" w:space="0"/>
              <w:right w:val="single" w:color="auto" w:sz="4" w:space="0"/>
            </w:tcBorders>
            <w:vAlign w:val="center"/>
          </w:tcPr>
          <w:p w14:paraId="0ACBEDA5">
            <w:pPr>
              <w:bidi w:val="0"/>
              <w:jc w:val="center"/>
              <w:rPr>
                <w:rFonts w:ascii="宋体" w:hAnsi="宋体"/>
                <w:color w:val="000000"/>
                <w:szCs w:val="21"/>
              </w:rPr>
            </w:pPr>
            <w:r>
              <w:rPr>
                <w:rFonts w:hint="eastAsia"/>
              </w:rPr>
              <w:t>无线AP</w:t>
            </w:r>
          </w:p>
        </w:tc>
        <w:tc>
          <w:tcPr>
            <w:tcW w:w="900" w:type="dxa"/>
            <w:tcBorders>
              <w:top w:val="single" w:color="auto" w:sz="4" w:space="0"/>
              <w:left w:val="single" w:color="auto" w:sz="4" w:space="0"/>
              <w:bottom w:val="single" w:color="auto" w:sz="4" w:space="0"/>
              <w:right w:val="single" w:color="auto" w:sz="4" w:space="0"/>
            </w:tcBorders>
            <w:vAlign w:val="center"/>
          </w:tcPr>
          <w:p w14:paraId="6C13B628">
            <w:pPr>
              <w:bidi w:val="0"/>
              <w:jc w:val="center"/>
              <w:rPr>
                <w:kern w:val="2"/>
                <w:sz w:val="21"/>
                <w:szCs w:val="24"/>
                <w:lang w:val="en-US" w:eastAsia="zh-CN" w:bidi="ar-SA"/>
              </w:rPr>
            </w:pPr>
            <w:r>
              <w:t>6</w:t>
            </w:r>
          </w:p>
        </w:tc>
        <w:tc>
          <w:tcPr>
            <w:tcW w:w="1426" w:type="dxa"/>
            <w:tcBorders>
              <w:top w:val="single" w:color="auto" w:sz="4" w:space="0"/>
              <w:left w:val="single" w:color="auto" w:sz="4" w:space="0"/>
              <w:bottom w:val="single" w:color="auto" w:sz="4" w:space="0"/>
              <w:right w:val="single" w:color="auto" w:sz="4" w:space="0"/>
            </w:tcBorders>
            <w:vAlign w:val="center"/>
          </w:tcPr>
          <w:p w14:paraId="13A3556B">
            <w:pPr>
              <w:snapToGrid w:val="0"/>
              <w:spacing w:line="320" w:lineRule="exact"/>
              <w:jc w:val="left"/>
              <w:rPr>
                <w:rFonts w:hAnsi="宋体"/>
                <w:szCs w:val="21"/>
              </w:rPr>
            </w:pPr>
          </w:p>
          <w:p w14:paraId="0511770D">
            <w:pPr>
              <w:bidi w:val="0"/>
              <w:jc w:val="left"/>
              <w:rPr>
                <w:kern w:val="2"/>
                <w:sz w:val="21"/>
                <w:szCs w:val="24"/>
                <w:lang w:val="en-US" w:eastAsia="zh-CN" w:bidi="ar-SA"/>
              </w:rPr>
            </w:pPr>
            <w:r>
              <w:rPr>
                <w:rFonts w:hint="eastAsia"/>
                <w:kern w:val="2"/>
                <w:sz w:val="21"/>
                <w:szCs w:val="24"/>
                <w:lang w:val="en-US" w:eastAsia="zh-CN" w:bidi="ar-SA"/>
              </w:rPr>
              <w:t>RG-AP9751-R</w:t>
            </w:r>
          </w:p>
        </w:tc>
        <w:tc>
          <w:tcPr>
            <w:tcW w:w="5414" w:type="dxa"/>
            <w:tcBorders>
              <w:top w:val="single" w:color="auto" w:sz="4" w:space="0"/>
              <w:left w:val="single" w:color="auto" w:sz="4" w:space="0"/>
              <w:bottom w:val="single" w:color="auto" w:sz="4" w:space="0"/>
              <w:right w:val="single" w:color="auto" w:sz="4" w:space="0"/>
            </w:tcBorders>
            <w:vAlign w:val="center"/>
          </w:tcPr>
          <w:p w14:paraId="58F786D8">
            <w:pPr>
              <w:snapToGrid w:val="0"/>
              <w:spacing w:line="320" w:lineRule="exact"/>
              <w:jc w:val="left"/>
              <w:rPr>
                <w:rFonts w:hint="eastAsia" w:hAnsi="宋体"/>
                <w:szCs w:val="21"/>
              </w:rPr>
            </w:pPr>
            <w:r>
              <w:rPr>
                <w:rFonts w:hint="eastAsia" w:hAnsi="宋体"/>
                <w:szCs w:val="21"/>
              </w:rPr>
              <w:t>1.▲2.4G、5G频段均支持802.11be标准；</w:t>
            </w:r>
          </w:p>
          <w:p w14:paraId="23FBE31A">
            <w:pPr>
              <w:snapToGrid w:val="0"/>
              <w:spacing w:line="320" w:lineRule="exact"/>
              <w:jc w:val="left"/>
              <w:rPr>
                <w:rFonts w:hint="eastAsia" w:hAnsi="宋体"/>
                <w:szCs w:val="21"/>
              </w:rPr>
            </w:pPr>
            <w:r>
              <w:rPr>
                <w:rFonts w:hint="eastAsia" w:hAnsi="宋体"/>
                <w:szCs w:val="21"/>
              </w:rPr>
              <w:t>2.▲采用四射频设计，整机支持12条空间流，整机最大无线速率≥12.2Gbps；</w:t>
            </w:r>
          </w:p>
          <w:p w14:paraId="232AA7B4">
            <w:pPr>
              <w:snapToGrid w:val="0"/>
              <w:spacing w:line="320" w:lineRule="exact"/>
              <w:jc w:val="left"/>
              <w:rPr>
                <w:rFonts w:hint="eastAsia" w:hAnsi="宋体"/>
                <w:szCs w:val="21"/>
              </w:rPr>
            </w:pPr>
            <w:r>
              <w:rPr>
                <w:rFonts w:hint="eastAsia" w:hAnsi="宋体"/>
                <w:szCs w:val="21"/>
              </w:rPr>
              <w:t>3.▲支持≥1个10G以太网电口（向下兼容1G、2.5G、5G）和≥1个1G以太网电口，支持10G光口（向下兼容1G、2.5G、5G）≥1个；</w:t>
            </w:r>
          </w:p>
          <w:p w14:paraId="1366624C">
            <w:pPr>
              <w:snapToGrid w:val="0"/>
              <w:spacing w:line="320" w:lineRule="exact"/>
              <w:jc w:val="left"/>
              <w:rPr>
                <w:rFonts w:hint="eastAsia" w:hAnsi="宋体"/>
                <w:szCs w:val="21"/>
              </w:rPr>
            </w:pPr>
            <w:r>
              <w:rPr>
                <w:rFonts w:hint="eastAsia" w:hAnsi="宋体"/>
                <w:szCs w:val="21"/>
              </w:rPr>
              <w:t>4.★支持≥1个10/100/1000Base-T以太网接口，该端口支持对外供电，可扩展物联网模块，提供官网截图和链接证明；</w:t>
            </w:r>
          </w:p>
          <w:p w14:paraId="77F078B2">
            <w:pPr>
              <w:snapToGrid w:val="0"/>
              <w:spacing w:line="320" w:lineRule="exact"/>
              <w:jc w:val="left"/>
              <w:rPr>
                <w:rFonts w:hint="eastAsia" w:hAnsi="宋体"/>
                <w:szCs w:val="21"/>
              </w:rPr>
            </w:pPr>
            <w:r>
              <w:rPr>
                <w:rFonts w:hint="eastAsia" w:hAnsi="宋体"/>
                <w:szCs w:val="21"/>
              </w:rPr>
              <w:t>5.内置蓝牙5.3，支持USB2.0；</w:t>
            </w:r>
          </w:p>
          <w:p w14:paraId="70CD03B6">
            <w:pPr>
              <w:snapToGrid w:val="0"/>
              <w:spacing w:line="320" w:lineRule="exact"/>
              <w:jc w:val="left"/>
              <w:rPr>
                <w:rFonts w:hint="eastAsia" w:hAnsi="宋体"/>
                <w:szCs w:val="21"/>
              </w:rPr>
            </w:pPr>
            <w:r>
              <w:rPr>
                <w:rFonts w:hint="eastAsia" w:hAnsi="宋体"/>
                <w:szCs w:val="21"/>
              </w:rPr>
              <w:t>6.★为保障移动终端的网络性能，所投AP 可使用额外的一个独立射频进行环境扫描，并将信息上传AC，由AC 引导终端漫游到附近信号更好的 AP，减少网络中的粘性终端以及避免终端主动漫游产生的丢包。提供官网截图及链接或产品彩页或第三方检测报告证明；</w:t>
            </w:r>
          </w:p>
          <w:p w14:paraId="07267556">
            <w:pPr>
              <w:snapToGrid w:val="0"/>
              <w:spacing w:line="320" w:lineRule="exact"/>
              <w:jc w:val="left"/>
              <w:rPr>
                <w:rFonts w:hint="eastAsia" w:hAnsi="宋体"/>
                <w:szCs w:val="21"/>
              </w:rPr>
            </w:pPr>
            <w:r>
              <w:rPr>
                <w:rFonts w:hint="eastAsia" w:hAnsi="宋体"/>
                <w:szCs w:val="21"/>
              </w:rPr>
              <w:t>7.为快速建立高度隔离的安全网络，设备应支持实现AP虚拟化功能，实现一台AP虚拟为多台AP，分别受不同AC设备独立管理，互不影响，不同虚拟 AP之间数据隔离，虚拟AP在AC上不占用AP License；</w:t>
            </w:r>
          </w:p>
          <w:p w14:paraId="5030A318">
            <w:pPr>
              <w:snapToGrid w:val="0"/>
              <w:spacing w:line="320" w:lineRule="exact"/>
              <w:jc w:val="left"/>
              <w:rPr>
                <w:rFonts w:hint="eastAsia" w:hAnsi="宋体"/>
                <w:szCs w:val="21"/>
              </w:rPr>
            </w:pPr>
            <w:r>
              <w:rPr>
                <w:rFonts w:hint="eastAsia" w:hAnsi="宋体"/>
                <w:szCs w:val="21"/>
              </w:rPr>
              <w:t>8.支持SSID隐藏，每个SSID可配置单独的认证方式、加密机制，VLAN属性；</w:t>
            </w:r>
          </w:p>
          <w:p w14:paraId="7034F403">
            <w:pPr>
              <w:snapToGrid w:val="0"/>
              <w:spacing w:line="320" w:lineRule="exact"/>
              <w:jc w:val="left"/>
              <w:rPr>
                <w:rFonts w:hint="eastAsia" w:hAnsi="宋体"/>
                <w:szCs w:val="21"/>
              </w:rPr>
            </w:pPr>
            <w:r>
              <w:rPr>
                <w:rFonts w:hint="eastAsia" w:hAnsi="宋体"/>
                <w:szCs w:val="21"/>
              </w:rPr>
              <w:t>9.支持边缘智能感知（RIPT）；</w:t>
            </w:r>
          </w:p>
          <w:p w14:paraId="1FE7776F">
            <w:pPr>
              <w:snapToGrid w:val="0"/>
              <w:spacing w:line="320" w:lineRule="exact"/>
              <w:jc w:val="left"/>
              <w:rPr>
                <w:rFonts w:hint="eastAsia" w:hAnsi="宋体"/>
                <w:szCs w:val="21"/>
              </w:rPr>
            </w:pPr>
            <w:r>
              <w:rPr>
                <w:rFonts w:hint="eastAsia" w:hAnsi="宋体"/>
                <w:szCs w:val="21"/>
              </w:rPr>
              <w:t>10.支持终端智能识别技术，可识别终端类型并上报；</w:t>
            </w:r>
          </w:p>
          <w:p w14:paraId="0B59CED3">
            <w:pPr>
              <w:snapToGrid w:val="0"/>
              <w:spacing w:line="320" w:lineRule="exact"/>
              <w:jc w:val="left"/>
              <w:rPr>
                <w:rFonts w:hint="eastAsia" w:hAnsi="宋体"/>
                <w:szCs w:val="21"/>
              </w:rPr>
            </w:pPr>
            <w:r>
              <w:rPr>
                <w:rFonts w:hint="eastAsia" w:hAnsi="宋体"/>
                <w:szCs w:val="21"/>
              </w:rPr>
              <w:t>11.支持基于SSID、射频卡的接入用户数限制；</w:t>
            </w:r>
          </w:p>
          <w:p w14:paraId="55821390">
            <w:pPr>
              <w:snapToGrid w:val="0"/>
              <w:spacing w:line="320" w:lineRule="exact"/>
              <w:jc w:val="left"/>
              <w:rPr>
                <w:rFonts w:hint="eastAsia" w:hAnsi="宋体"/>
                <w:szCs w:val="21"/>
              </w:rPr>
            </w:pPr>
            <w:r>
              <w:rPr>
                <w:rFonts w:hint="eastAsia" w:hAnsi="宋体"/>
                <w:szCs w:val="21"/>
              </w:rPr>
              <w:t>12.支持基于终端数或流量的智能负载均衡，支持基于STA/SSID/AP的限速；</w:t>
            </w:r>
          </w:p>
          <w:p w14:paraId="75D5EEF9">
            <w:pPr>
              <w:snapToGrid w:val="0"/>
              <w:spacing w:line="320" w:lineRule="exact"/>
              <w:jc w:val="left"/>
              <w:rPr>
                <w:rFonts w:hint="eastAsia" w:hAnsi="宋体"/>
                <w:szCs w:val="21"/>
              </w:rPr>
            </w:pPr>
            <w:r>
              <w:rPr>
                <w:rFonts w:hint="eastAsia" w:hAnsi="宋体"/>
                <w:szCs w:val="21"/>
              </w:rPr>
              <w:t>13.★支持AP体验分析，统计不同AP的所有终端的上下线失败次数，平均信号强度、平均丢包率、平均时延参数，支持排序方便定位问题，提供官网截图及链接或产品彩页或第三方测试报告证明；</w:t>
            </w:r>
          </w:p>
          <w:p w14:paraId="1D10D4B8">
            <w:pPr>
              <w:snapToGrid w:val="0"/>
              <w:spacing w:line="320" w:lineRule="exact"/>
              <w:jc w:val="left"/>
              <w:rPr>
                <w:rFonts w:hint="eastAsia" w:hAnsi="宋体"/>
                <w:szCs w:val="21"/>
              </w:rPr>
            </w:pPr>
            <w:r>
              <w:rPr>
                <w:rFonts w:hint="eastAsia" w:hAnsi="宋体"/>
                <w:szCs w:val="21"/>
              </w:rPr>
              <w:t>14.★支持通过管理平台实现一键优化功能，支持办公室，室外、宿舍、高密会议等常见场景优化方案，支持按AP组网优，为确保整体方案成熟可靠，提供官网截图及链接或产品彩页或第三方测试报告证明；</w:t>
            </w:r>
          </w:p>
          <w:p w14:paraId="247E97CE">
            <w:pPr>
              <w:snapToGrid w:val="0"/>
              <w:spacing w:line="320" w:lineRule="exact"/>
              <w:jc w:val="left"/>
              <w:rPr>
                <w:rFonts w:hAnsi="宋体"/>
                <w:szCs w:val="21"/>
              </w:rPr>
            </w:pPr>
            <w:r>
              <w:rPr>
                <w:rFonts w:hint="eastAsia" w:hAnsi="宋体"/>
                <w:szCs w:val="21"/>
              </w:rPr>
              <w:t>15、★与本次采购的无线AC必须为同一品牌</w:t>
            </w:r>
          </w:p>
        </w:tc>
      </w:tr>
      <w:tr w14:paraId="4F2E1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2700" w:type="dxa"/>
            <w:gridSpan w:val="3"/>
            <w:tcBorders>
              <w:top w:val="single" w:color="auto" w:sz="4" w:space="0"/>
              <w:left w:val="single" w:color="auto" w:sz="4" w:space="0"/>
              <w:bottom w:val="single" w:color="auto" w:sz="4" w:space="0"/>
              <w:right w:val="single" w:color="auto" w:sz="4" w:space="0"/>
            </w:tcBorders>
            <w:vAlign w:val="center"/>
          </w:tcPr>
          <w:p w14:paraId="6D74C973">
            <w:pPr>
              <w:pStyle w:val="6"/>
              <w:snapToGrid w:val="0"/>
              <w:jc w:val="center"/>
              <w:outlineLvl w:val="0"/>
              <w:rPr>
                <w:rFonts w:hint="eastAsia" w:hAnsi="宋体"/>
                <w:color w:val="000000"/>
              </w:rPr>
            </w:pPr>
            <w:r>
              <w:rPr>
                <w:rFonts w:hint="eastAsia" w:hAnsi="宋体"/>
                <w:color w:val="000000"/>
              </w:rPr>
              <w:t>质量标准</w:t>
            </w:r>
          </w:p>
        </w:tc>
        <w:tc>
          <w:tcPr>
            <w:tcW w:w="7740" w:type="dxa"/>
            <w:gridSpan w:val="3"/>
            <w:tcBorders>
              <w:top w:val="single" w:color="auto" w:sz="4" w:space="0"/>
              <w:left w:val="single" w:color="auto" w:sz="4" w:space="0"/>
              <w:bottom w:val="single" w:color="auto" w:sz="4" w:space="0"/>
              <w:right w:val="single" w:color="auto" w:sz="4" w:space="0"/>
            </w:tcBorders>
            <w:vAlign w:val="center"/>
          </w:tcPr>
          <w:p w14:paraId="6B5CDAB6">
            <w:pPr>
              <w:snapToGrid w:val="0"/>
              <w:spacing w:line="320" w:lineRule="exact"/>
              <w:jc w:val="left"/>
              <w:rPr>
                <w:rFonts w:hint="eastAsia" w:ascii="宋体" w:hAnsi="宋体"/>
                <w:color w:val="000000"/>
                <w:szCs w:val="21"/>
              </w:rPr>
            </w:pPr>
            <w:r>
              <w:rPr>
                <w:rFonts w:hint="eastAsia" w:ascii="宋体" w:hAnsi="宋体"/>
                <w:color w:val="000000"/>
                <w:szCs w:val="21"/>
              </w:rPr>
              <w:t>符合设备制造厂家合格产品的出厂质量标准。</w:t>
            </w:r>
          </w:p>
        </w:tc>
      </w:tr>
      <w:tr w14:paraId="1F9B7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2700" w:type="dxa"/>
            <w:gridSpan w:val="3"/>
            <w:tcBorders>
              <w:top w:val="single" w:color="auto" w:sz="4" w:space="0"/>
              <w:left w:val="single" w:color="auto" w:sz="4" w:space="0"/>
              <w:bottom w:val="single" w:color="auto" w:sz="4" w:space="0"/>
              <w:right w:val="single" w:color="auto" w:sz="4" w:space="0"/>
            </w:tcBorders>
            <w:vAlign w:val="center"/>
          </w:tcPr>
          <w:p w14:paraId="3971CA62">
            <w:pPr>
              <w:pStyle w:val="6"/>
              <w:snapToGrid w:val="0"/>
              <w:jc w:val="center"/>
              <w:outlineLvl w:val="0"/>
              <w:rPr>
                <w:rFonts w:hint="eastAsia" w:hAnsi="宋体"/>
                <w:color w:val="000000"/>
              </w:rPr>
            </w:pPr>
            <w:r>
              <w:rPr>
                <w:rFonts w:hint="eastAsia" w:hAnsi="宋体"/>
                <w:color w:val="000000"/>
              </w:rPr>
              <w:t>验收条件及标准</w:t>
            </w:r>
          </w:p>
        </w:tc>
        <w:tc>
          <w:tcPr>
            <w:tcW w:w="7740" w:type="dxa"/>
            <w:gridSpan w:val="3"/>
            <w:tcBorders>
              <w:top w:val="single" w:color="auto" w:sz="4" w:space="0"/>
              <w:left w:val="single" w:color="auto" w:sz="4" w:space="0"/>
              <w:bottom w:val="single" w:color="auto" w:sz="4" w:space="0"/>
              <w:right w:val="single" w:color="auto" w:sz="4" w:space="0"/>
            </w:tcBorders>
            <w:vAlign w:val="center"/>
          </w:tcPr>
          <w:p w14:paraId="4214F2B5">
            <w:pPr>
              <w:snapToGrid w:val="0"/>
              <w:spacing w:line="320" w:lineRule="exact"/>
              <w:jc w:val="left"/>
              <w:rPr>
                <w:rFonts w:hint="eastAsia" w:ascii="宋体" w:hAnsi="宋体"/>
                <w:color w:val="000000"/>
                <w:szCs w:val="21"/>
              </w:rPr>
            </w:pPr>
            <w:r>
              <w:rPr>
                <w:rFonts w:hint="eastAsia" w:ascii="宋体" w:hAnsi="宋体"/>
              </w:rPr>
              <w:t>设备需全新、完好、无破损，按照技术要求的各项指标进行验收。</w:t>
            </w:r>
          </w:p>
        </w:tc>
      </w:tr>
      <w:tr w14:paraId="7E82C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2700" w:type="dxa"/>
            <w:gridSpan w:val="3"/>
            <w:tcBorders>
              <w:top w:val="single" w:color="auto" w:sz="4" w:space="0"/>
              <w:left w:val="single" w:color="auto" w:sz="4" w:space="0"/>
              <w:bottom w:val="single" w:color="auto" w:sz="4" w:space="0"/>
              <w:right w:val="single" w:color="auto" w:sz="4" w:space="0"/>
            </w:tcBorders>
            <w:vAlign w:val="center"/>
          </w:tcPr>
          <w:p w14:paraId="1049E1DC">
            <w:pPr>
              <w:snapToGrid w:val="0"/>
              <w:jc w:val="center"/>
              <w:outlineLvl w:val="0"/>
              <w:rPr>
                <w:rFonts w:hint="eastAsia" w:hAnsi="宋体"/>
                <w:color w:val="000000"/>
              </w:rPr>
            </w:pPr>
            <w:r>
              <w:rPr>
                <w:rFonts w:hint="eastAsia" w:hAnsi="宋体"/>
                <w:color w:val="000000"/>
              </w:rPr>
              <w:t>验收方法及方案</w:t>
            </w:r>
          </w:p>
        </w:tc>
        <w:tc>
          <w:tcPr>
            <w:tcW w:w="7740" w:type="dxa"/>
            <w:gridSpan w:val="3"/>
            <w:tcBorders>
              <w:top w:val="single" w:color="auto" w:sz="4" w:space="0"/>
              <w:left w:val="single" w:color="auto" w:sz="4" w:space="0"/>
              <w:bottom w:val="single" w:color="auto" w:sz="4" w:space="0"/>
              <w:right w:val="single" w:color="auto" w:sz="4" w:space="0"/>
            </w:tcBorders>
            <w:vAlign w:val="center"/>
          </w:tcPr>
          <w:p w14:paraId="40659763">
            <w:pPr>
              <w:tabs>
                <w:tab w:val="left" w:pos="1820"/>
              </w:tabs>
              <w:spacing w:line="320" w:lineRule="exact"/>
              <w:rPr>
                <w:rFonts w:hint="eastAsia" w:ascii="宋体" w:hAnsi="宋体"/>
              </w:rPr>
            </w:pPr>
            <w:r>
              <w:rPr>
                <w:rFonts w:hint="eastAsia" w:ascii="宋体" w:hAnsi="宋体"/>
              </w:rPr>
              <w:t>设备开机试运行，测试设备的技术性能指标，确认各项功能正常运行，同时检查随机文件应齐整。</w:t>
            </w:r>
          </w:p>
        </w:tc>
      </w:tr>
      <w:tr w14:paraId="244AF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10440" w:type="dxa"/>
            <w:gridSpan w:val="6"/>
            <w:tcBorders>
              <w:top w:val="single" w:color="auto" w:sz="4" w:space="0"/>
              <w:left w:val="single" w:color="auto" w:sz="4" w:space="0"/>
              <w:bottom w:val="single" w:color="auto" w:sz="4" w:space="0"/>
              <w:right w:val="single" w:color="auto" w:sz="4" w:space="0"/>
            </w:tcBorders>
            <w:vAlign w:val="center"/>
          </w:tcPr>
          <w:p w14:paraId="6E06F630">
            <w:pPr>
              <w:snapToGrid w:val="0"/>
              <w:spacing w:line="320" w:lineRule="exact"/>
              <w:rPr>
                <w:rFonts w:hint="eastAsia" w:ascii="黑体" w:hAnsi="宋体" w:eastAsia="黑体"/>
                <w:sz w:val="24"/>
              </w:rPr>
            </w:pPr>
            <w:r>
              <w:rPr>
                <w:rFonts w:hint="eastAsia" w:ascii="黑体" w:hAnsi="宋体" w:eastAsia="黑体"/>
                <w:color w:val="000000"/>
                <w:sz w:val="24"/>
              </w:rPr>
              <w:t>二、商务要求表</w:t>
            </w:r>
          </w:p>
        </w:tc>
      </w:tr>
      <w:tr w14:paraId="69164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1980" w:type="dxa"/>
            <w:gridSpan w:val="2"/>
            <w:tcBorders>
              <w:top w:val="single" w:color="auto" w:sz="4" w:space="0"/>
              <w:left w:val="single" w:color="auto" w:sz="4" w:space="0"/>
              <w:bottom w:val="single" w:color="auto" w:sz="4" w:space="0"/>
              <w:right w:val="single" w:color="auto" w:sz="4" w:space="0"/>
            </w:tcBorders>
            <w:vAlign w:val="center"/>
          </w:tcPr>
          <w:p w14:paraId="23D7514B">
            <w:pPr>
              <w:snapToGrid w:val="0"/>
              <w:spacing w:line="320" w:lineRule="exact"/>
              <w:jc w:val="center"/>
              <w:rPr>
                <w:rFonts w:hint="eastAsia" w:ascii="宋体" w:hAnsi="宋体"/>
                <w:color w:val="000000"/>
                <w:szCs w:val="21"/>
              </w:rPr>
            </w:pPr>
            <w:r>
              <w:rPr>
                <w:rFonts w:hint="eastAsia" w:ascii="宋体" w:hAnsi="宋体"/>
                <w:color w:val="000000"/>
                <w:szCs w:val="21"/>
              </w:rPr>
              <w:t>质保期</w:t>
            </w:r>
          </w:p>
        </w:tc>
        <w:tc>
          <w:tcPr>
            <w:tcW w:w="8460" w:type="dxa"/>
            <w:gridSpan w:val="4"/>
            <w:tcBorders>
              <w:top w:val="single" w:color="auto" w:sz="4" w:space="0"/>
              <w:left w:val="single" w:color="auto" w:sz="4" w:space="0"/>
              <w:bottom w:val="single" w:color="auto" w:sz="4" w:space="0"/>
              <w:right w:val="single" w:color="auto" w:sz="4" w:space="0"/>
            </w:tcBorders>
            <w:vAlign w:val="center"/>
          </w:tcPr>
          <w:p w14:paraId="4ABF1CC4">
            <w:pPr>
              <w:snapToGrid w:val="0"/>
              <w:spacing w:line="320" w:lineRule="exact"/>
              <w:jc w:val="left"/>
              <w:rPr>
                <w:rFonts w:hint="eastAsia" w:hAnsi="宋体"/>
                <w:color w:val="000000"/>
              </w:rPr>
            </w:pPr>
            <w:r>
              <w:rPr>
                <w:rFonts w:hint="eastAsia" w:ascii="宋体" w:hAnsi="宋体"/>
                <w:szCs w:val="21"/>
              </w:rPr>
              <w:t>按国家有关产品“三包”规定执行“三包”，免费质保期最短不得少于</w:t>
            </w:r>
            <w:r>
              <w:rPr>
                <w:rFonts w:hint="eastAsia" w:ascii="宋体" w:hAnsi="宋体"/>
                <w:szCs w:val="21"/>
                <w:u w:val="single"/>
              </w:rPr>
              <w:t xml:space="preserve">  1 </w:t>
            </w:r>
            <w:r>
              <w:rPr>
                <w:rFonts w:hint="eastAsia" w:ascii="宋体" w:hAnsi="宋体"/>
                <w:szCs w:val="21"/>
              </w:rPr>
              <w:t>年</w:t>
            </w:r>
            <w:r>
              <w:rPr>
                <w:rFonts w:hint="eastAsia" w:ascii="宋体" w:hAnsi="宋体"/>
                <w:color w:val="000000"/>
                <w:szCs w:val="21"/>
              </w:rPr>
              <w:t>（设备技术要求栏中有特别注明的除外），</w:t>
            </w:r>
            <w:r>
              <w:rPr>
                <w:rFonts w:hint="eastAsia" w:ascii="宋体" w:hAnsi="宋体"/>
                <w:szCs w:val="21"/>
              </w:rPr>
              <w:t>保修期内上门维修免收维修费和元器件费，并提供终身维修服务。</w:t>
            </w:r>
          </w:p>
        </w:tc>
      </w:tr>
      <w:tr w14:paraId="0173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3" w:hRule="atLeast"/>
        </w:trPr>
        <w:tc>
          <w:tcPr>
            <w:tcW w:w="1980" w:type="dxa"/>
            <w:gridSpan w:val="2"/>
            <w:tcBorders>
              <w:top w:val="single" w:color="auto" w:sz="4" w:space="0"/>
              <w:left w:val="single" w:color="auto" w:sz="4" w:space="0"/>
              <w:bottom w:val="single" w:color="auto" w:sz="4" w:space="0"/>
              <w:right w:val="single" w:color="auto" w:sz="4" w:space="0"/>
            </w:tcBorders>
            <w:vAlign w:val="center"/>
          </w:tcPr>
          <w:p w14:paraId="18EE8055">
            <w:pPr>
              <w:snapToGrid w:val="0"/>
              <w:spacing w:line="320" w:lineRule="exact"/>
              <w:jc w:val="center"/>
              <w:rPr>
                <w:rFonts w:hint="eastAsia" w:ascii="宋体" w:hAnsi="宋体"/>
                <w:color w:val="000000"/>
                <w:szCs w:val="21"/>
              </w:rPr>
            </w:pPr>
            <w:r>
              <w:rPr>
                <w:rFonts w:hint="eastAsia" w:ascii="宋体" w:hAnsi="宋体"/>
                <w:color w:val="000000"/>
                <w:szCs w:val="21"/>
              </w:rPr>
              <w:t>售后及技术服务</w:t>
            </w:r>
          </w:p>
          <w:p w14:paraId="73861650">
            <w:pPr>
              <w:snapToGrid w:val="0"/>
              <w:spacing w:line="320" w:lineRule="exact"/>
              <w:jc w:val="center"/>
              <w:rPr>
                <w:rFonts w:hint="eastAsia" w:ascii="宋体" w:hAnsi="宋体"/>
                <w:szCs w:val="21"/>
              </w:rPr>
            </w:pPr>
            <w:r>
              <w:rPr>
                <w:rFonts w:hint="eastAsia" w:ascii="宋体" w:hAnsi="宋体"/>
                <w:color w:val="000000"/>
                <w:szCs w:val="21"/>
              </w:rPr>
              <w:t>要求</w:t>
            </w:r>
          </w:p>
        </w:tc>
        <w:tc>
          <w:tcPr>
            <w:tcW w:w="8460" w:type="dxa"/>
            <w:gridSpan w:val="4"/>
            <w:tcBorders>
              <w:top w:val="single" w:color="auto" w:sz="4" w:space="0"/>
              <w:left w:val="single" w:color="auto" w:sz="4" w:space="0"/>
              <w:bottom w:val="single" w:color="auto" w:sz="4" w:space="0"/>
              <w:right w:val="single" w:color="auto" w:sz="4" w:space="0"/>
            </w:tcBorders>
            <w:vAlign w:val="center"/>
          </w:tcPr>
          <w:p w14:paraId="26903358">
            <w:pPr>
              <w:numPr>
                <w:ilvl w:val="0"/>
                <w:numId w:val="1"/>
              </w:numPr>
              <w:tabs>
                <w:tab w:val="left" w:pos="0"/>
                <w:tab w:val="clear" w:pos="360"/>
              </w:tabs>
              <w:snapToGrid w:val="0"/>
              <w:spacing w:line="320" w:lineRule="exact"/>
              <w:ind w:left="0"/>
              <w:jc w:val="left"/>
              <w:rPr>
                <w:rFonts w:hint="eastAsia" w:ascii="宋体" w:hAnsi="宋体"/>
                <w:color w:val="000000"/>
                <w:szCs w:val="21"/>
              </w:rPr>
            </w:pPr>
            <w:r>
              <w:rPr>
                <w:rFonts w:hint="eastAsia" w:ascii="宋体" w:hAnsi="宋体"/>
                <w:bCs/>
                <w:szCs w:val="21"/>
              </w:rPr>
              <w:t>1、免费送货上门，免费安装、免费调试，</w:t>
            </w:r>
            <w:r>
              <w:rPr>
                <w:rFonts w:hint="eastAsia" w:ascii="宋体" w:hAnsi="宋体"/>
                <w:color w:val="000000"/>
                <w:szCs w:val="21"/>
              </w:rPr>
              <w:t>免费提供现场技术培训，保证使用人员正常操作设备的各种功能</w:t>
            </w:r>
            <w:r>
              <w:rPr>
                <w:rFonts w:hint="eastAsia" w:ascii="宋体" w:hAnsi="宋体"/>
                <w:szCs w:val="21"/>
              </w:rPr>
              <w:t>；若</w:t>
            </w:r>
            <w:r>
              <w:rPr>
                <w:rFonts w:hint="eastAsia" w:ascii="宋体" w:hAnsi="宋体" w:cs="宋体"/>
                <w:color w:val="000000"/>
                <w:szCs w:val="21"/>
                <w:lang w:val="zh-CN"/>
              </w:rPr>
              <w:t>设备自带</w:t>
            </w:r>
            <w:r>
              <w:rPr>
                <w:rFonts w:hint="eastAsia" w:ascii="宋体" w:hAnsi="宋体"/>
                <w:szCs w:val="21"/>
              </w:rPr>
              <w:t>软件，则在保修期免费升级；其余按投标人承诺进行</w:t>
            </w:r>
            <w:r>
              <w:rPr>
                <w:rFonts w:hint="eastAsia" w:ascii="宋体" w:hAnsi="宋体"/>
                <w:color w:val="000000"/>
                <w:szCs w:val="21"/>
              </w:rPr>
              <w:t>。</w:t>
            </w:r>
          </w:p>
          <w:p w14:paraId="7F702815">
            <w:pPr>
              <w:snapToGrid w:val="0"/>
              <w:spacing w:line="320" w:lineRule="exact"/>
              <w:jc w:val="left"/>
              <w:rPr>
                <w:rFonts w:hint="eastAsia" w:ascii="宋体" w:hAnsi="宋体"/>
                <w:color w:val="000000"/>
                <w:szCs w:val="21"/>
              </w:rPr>
            </w:pPr>
            <w:r>
              <w:rPr>
                <w:rFonts w:hint="eastAsia" w:ascii="宋体" w:hAnsi="宋体"/>
                <w:color w:val="000000"/>
                <w:szCs w:val="21"/>
              </w:rPr>
              <w:t>2、提供售后服务联系电话及联系人，免费质保期内，接到报障电话在承诺时间内派工程技术人员上门维修解决问题。如果需要更换配件的，要求更换的配件应跟被更换的品牌、类型相一致或者是同类同档次的替代品，后者需征得用户方管理人员同意。</w:t>
            </w:r>
          </w:p>
          <w:p w14:paraId="3D826390">
            <w:pPr>
              <w:snapToGrid w:val="0"/>
              <w:spacing w:line="320" w:lineRule="exact"/>
              <w:jc w:val="left"/>
              <w:rPr>
                <w:rFonts w:hint="eastAsia" w:ascii="宋体" w:hAnsi="宋体"/>
                <w:color w:val="000000"/>
                <w:szCs w:val="21"/>
              </w:rPr>
            </w:pPr>
            <w:r>
              <w:rPr>
                <w:rFonts w:hint="eastAsia" w:ascii="宋体" w:hAnsi="宋体"/>
                <w:color w:val="000000"/>
                <w:szCs w:val="21"/>
              </w:rPr>
              <w:t>3、</w:t>
            </w:r>
            <w:r>
              <w:rPr>
                <w:rFonts w:hint="eastAsia" w:hAnsi="宋体"/>
              </w:rPr>
              <w:t>提供保修期外零配件优惠供应方案。</w:t>
            </w:r>
          </w:p>
        </w:tc>
      </w:tr>
      <w:tr w14:paraId="27CC1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1980" w:type="dxa"/>
            <w:gridSpan w:val="2"/>
            <w:tcBorders>
              <w:top w:val="single" w:color="auto" w:sz="4" w:space="0"/>
              <w:left w:val="single" w:color="auto" w:sz="4" w:space="0"/>
              <w:bottom w:val="single" w:color="auto" w:sz="4" w:space="0"/>
              <w:right w:val="single" w:color="auto" w:sz="4" w:space="0"/>
            </w:tcBorders>
            <w:vAlign w:val="center"/>
          </w:tcPr>
          <w:p w14:paraId="4BA94AE3">
            <w:pPr>
              <w:snapToGrid w:val="0"/>
              <w:spacing w:line="320" w:lineRule="exact"/>
              <w:jc w:val="center"/>
              <w:rPr>
                <w:rFonts w:hint="eastAsia" w:ascii="宋体" w:hAnsi="宋体"/>
                <w:color w:val="000000"/>
                <w:szCs w:val="21"/>
              </w:rPr>
            </w:pPr>
            <w:r>
              <w:rPr>
                <w:rFonts w:hint="eastAsia" w:ascii="宋体" w:hAnsi="宋体"/>
                <w:color w:val="000000"/>
                <w:szCs w:val="21"/>
              </w:rPr>
              <w:t>交货时间及地点</w:t>
            </w:r>
          </w:p>
        </w:tc>
        <w:tc>
          <w:tcPr>
            <w:tcW w:w="8460" w:type="dxa"/>
            <w:gridSpan w:val="4"/>
            <w:tcBorders>
              <w:top w:val="single" w:color="auto" w:sz="4" w:space="0"/>
              <w:left w:val="single" w:color="auto" w:sz="4" w:space="0"/>
              <w:bottom w:val="single" w:color="auto" w:sz="4" w:space="0"/>
              <w:right w:val="single" w:color="auto" w:sz="4" w:space="0"/>
            </w:tcBorders>
            <w:vAlign w:val="top"/>
          </w:tcPr>
          <w:p w14:paraId="02490624">
            <w:pPr>
              <w:snapToGrid w:val="0"/>
              <w:spacing w:line="320" w:lineRule="exact"/>
              <w:jc w:val="left"/>
              <w:rPr>
                <w:rFonts w:ascii="宋体" w:hAnsi="宋体"/>
                <w:color w:val="000000"/>
                <w:szCs w:val="21"/>
              </w:rPr>
            </w:pPr>
            <w:r>
              <w:rPr>
                <w:rFonts w:hint="eastAsia" w:ascii="宋体" w:hAnsi="宋体"/>
                <w:color w:val="000000"/>
                <w:szCs w:val="21"/>
              </w:rPr>
              <w:t>交货期：</w:t>
            </w:r>
            <w:r>
              <w:rPr>
                <w:rFonts w:hint="eastAsia" w:hAnsi="宋体"/>
              </w:rPr>
              <w:t>自签订合同之日起</w:t>
            </w:r>
            <w:r>
              <w:rPr>
                <w:rFonts w:hint="eastAsia" w:ascii="宋体" w:hAnsi="宋体"/>
                <w:szCs w:val="21"/>
                <w:u w:val="single"/>
              </w:rPr>
              <w:t xml:space="preserve">  15 </w:t>
            </w:r>
            <w:r>
              <w:rPr>
                <w:rFonts w:hint="eastAsia" w:ascii="宋体" w:hAnsi="宋体"/>
                <w:szCs w:val="21"/>
              </w:rPr>
              <w:t>个工作日必须到货，并全部安装调试合格完毕；</w:t>
            </w:r>
          </w:p>
          <w:p w14:paraId="227C9708">
            <w:pPr>
              <w:snapToGrid w:val="0"/>
              <w:spacing w:line="320" w:lineRule="exact"/>
              <w:jc w:val="left"/>
              <w:rPr>
                <w:rFonts w:hint="eastAsia" w:ascii="宋体" w:hAnsi="宋体"/>
                <w:color w:val="000000"/>
                <w:szCs w:val="21"/>
              </w:rPr>
            </w:pPr>
            <w:r>
              <w:rPr>
                <w:rFonts w:hint="eastAsia" w:ascii="宋体" w:hAnsi="宋体"/>
                <w:color w:val="000000"/>
                <w:szCs w:val="21"/>
              </w:rPr>
              <w:t>交货地点：广西桂林市采购人指定地点</w:t>
            </w:r>
          </w:p>
        </w:tc>
      </w:tr>
      <w:tr w14:paraId="28973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980" w:type="dxa"/>
            <w:gridSpan w:val="2"/>
            <w:tcBorders>
              <w:top w:val="single" w:color="auto" w:sz="4" w:space="0"/>
              <w:left w:val="single" w:color="auto" w:sz="4" w:space="0"/>
              <w:bottom w:val="single" w:color="auto" w:sz="4" w:space="0"/>
              <w:right w:val="single" w:color="auto" w:sz="4" w:space="0"/>
            </w:tcBorders>
            <w:vAlign w:val="center"/>
          </w:tcPr>
          <w:p w14:paraId="17F47E9D">
            <w:pPr>
              <w:snapToGrid w:val="0"/>
              <w:spacing w:line="320" w:lineRule="exact"/>
              <w:jc w:val="center"/>
              <w:rPr>
                <w:rFonts w:hint="eastAsia" w:ascii="宋体" w:hAnsi="宋体"/>
                <w:color w:val="000000"/>
                <w:szCs w:val="21"/>
              </w:rPr>
            </w:pPr>
            <w:r>
              <w:rPr>
                <w:rFonts w:hint="eastAsia" w:ascii="宋体" w:hAnsi="宋体"/>
                <w:color w:val="000000"/>
                <w:szCs w:val="21"/>
              </w:rPr>
              <w:t>付款条件</w:t>
            </w:r>
          </w:p>
        </w:tc>
        <w:tc>
          <w:tcPr>
            <w:tcW w:w="8460" w:type="dxa"/>
            <w:gridSpan w:val="4"/>
            <w:tcBorders>
              <w:top w:val="single" w:color="auto" w:sz="4" w:space="0"/>
              <w:left w:val="single" w:color="auto" w:sz="4" w:space="0"/>
              <w:bottom w:val="single" w:color="auto" w:sz="4" w:space="0"/>
              <w:right w:val="single" w:color="auto" w:sz="4" w:space="0"/>
            </w:tcBorders>
            <w:shd w:val="clear" w:color="auto" w:fill="auto"/>
            <w:vAlign w:val="top"/>
          </w:tcPr>
          <w:p w14:paraId="38FD80BF">
            <w:pPr>
              <w:snapToGrid w:val="0"/>
              <w:spacing w:line="320" w:lineRule="exact"/>
              <w:jc w:val="left"/>
              <w:rPr>
                <w:rFonts w:hint="eastAsia" w:ascii="宋体" w:hAnsi="宋体" w:eastAsia="宋体" w:cs="Times New Roman"/>
                <w:b/>
                <w:color w:val="FF0000"/>
                <w:kern w:val="2"/>
                <w:sz w:val="21"/>
                <w:szCs w:val="21"/>
                <w:lang w:val="en-US" w:eastAsia="zh-CN" w:bidi="ar-SA"/>
              </w:rPr>
            </w:pPr>
            <w:r>
              <w:rPr>
                <w:rFonts w:hint="eastAsia" w:ascii="宋体" w:hAnsi="宋体"/>
                <w:color w:val="000000"/>
                <w:szCs w:val="21"/>
              </w:rPr>
              <w:t>在交付验收合格、培训指导完成及产品正常使用后，成交供应商在3日内开具增值税专用发票给采购人，采购人收到增值税专用发票后30日内支付100%的合同金额（无息）。</w:t>
            </w:r>
          </w:p>
        </w:tc>
      </w:tr>
      <w:tr w14:paraId="4BA87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atLeast"/>
        </w:trPr>
        <w:tc>
          <w:tcPr>
            <w:tcW w:w="10440" w:type="dxa"/>
            <w:gridSpan w:val="6"/>
            <w:tcBorders>
              <w:top w:val="single" w:color="auto" w:sz="4" w:space="0"/>
              <w:left w:val="single" w:color="auto" w:sz="4" w:space="0"/>
              <w:bottom w:val="single" w:color="auto" w:sz="4" w:space="0"/>
              <w:right w:val="single" w:color="auto" w:sz="4" w:space="0"/>
            </w:tcBorders>
            <w:vAlign w:val="top"/>
          </w:tcPr>
          <w:p w14:paraId="2886484B">
            <w:pPr>
              <w:snapToGrid w:val="0"/>
              <w:spacing w:line="320" w:lineRule="exact"/>
              <w:rPr>
                <w:rFonts w:hint="eastAsia" w:ascii="黑体" w:hAnsi="宋体" w:eastAsia="黑体"/>
                <w:color w:val="000000"/>
                <w:sz w:val="24"/>
              </w:rPr>
            </w:pPr>
            <w:r>
              <w:rPr>
                <w:rFonts w:hint="eastAsia" w:ascii="黑体" w:hAnsi="宋体" w:eastAsia="黑体"/>
                <w:color w:val="000000"/>
                <w:sz w:val="24"/>
              </w:rPr>
              <w:t>三、其他要求</w:t>
            </w:r>
          </w:p>
          <w:p w14:paraId="4416E656">
            <w:pPr>
              <w:numPr>
                <w:ilvl w:val="0"/>
                <w:numId w:val="2"/>
              </w:numPr>
              <w:snapToGrid w:val="0"/>
              <w:spacing w:line="360" w:lineRule="auto"/>
              <w:rPr>
                <w:rFonts w:hint="eastAsia" w:ascii="宋体" w:hAnsi="宋体" w:cs="宋体"/>
                <w:szCs w:val="21"/>
                <w:lang w:val="en-US" w:eastAsia="zh-CN"/>
              </w:rPr>
            </w:pPr>
            <w:r>
              <w:rPr>
                <w:rFonts w:hint="eastAsia" w:ascii="宋体" w:hAnsi="宋体" w:cs="宋体"/>
                <w:szCs w:val="21"/>
                <w:lang w:val="en-US" w:eastAsia="zh-CN"/>
              </w:rPr>
              <w:t>以上所有参数都必须全部满足，否则响应文件作无效处理。</w:t>
            </w:r>
          </w:p>
          <w:p w14:paraId="41DA189A">
            <w:pPr>
              <w:numPr>
                <w:ilvl w:val="0"/>
                <w:numId w:val="0"/>
              </w:numPr>
              <w:snapToGrid w:val="0"/>
              <w:spacing w:line="360" w:lineRule="auto"/>
              <w:rPr>
                <w:rFonts w:hint="eastAsia" w:ascii="宋体" w:hAnsi="宋体" w:cs="宋体"/>
                <w:szCs w:val="21"/>
              </w:rPr>
            </w:pPr>
            <w:r>
              <w:rPr>
                <w:rFonts w:hint="eastAsia" w:ascii="宋体" w:hAnsi="宋体" w:cs="宋体"/>
                <w:szCs w:val="21"/>
                <w:lang w:val="en-US" w:eastAsia="zh-CN"/>
              </w:rPr>
              <w:t>2</w:t>
            </w:r>
            <w:r>
              <w:rPr>
                <w:rFonts w:hint="eastAsia" w:ascii="宋体" w:hAnsi="宋体" w:cs="宋体"/>
                <w:szCs w:val="21"/>
              </w:rPr>
              <w:t>、履约保证金金额：按成交金额的</w:t>
            </w:r>
            <w:r>
              <w:rPr>
                <w:rFonts w:hint="eastAsia" w:ascii="宋体" w:hAnsi="宋体" w:cs="宋体"/>
                <w:szCs w:val="21"/>
                <w:u w:val="single"/>
              </w:rPr>
              <w:t xml:space="preserve">5 </w:t>
            </w:r>
            <w:r>
              <w:rPr>
                <w:rFonts w:hint="eastAsia" w:ascii="宋体" w:hAnsi="宋体" w:cs="宋体"/>
                <w:szCs w:val="21"/>
              </w:rPr>
              <w:t>%。</w:t>
            </w:r>
          </w:p>
          <w:p w14:paraId="66A7AEE9">
            <w:pPr>
              <w:snapToGrid w:val="0"/>
              <w:spacing w:line="360" w:lineRule="auto"/>
              <w:rPr>
                <w:rFonts w:hint="eastAsia" w:ascii="宋体" w:hAnsi="宋体" w:cs="宋体"/>
                <w:szCs w:val="21"/>
              </w:rPr>
            </w:pPr>
            <w:r>
              <w:rPr>
                <w:rFonts w:hint="eastAsia" w:ascii="宋体" w:hAnsi="宋体" w:cs="宋体"/>
                <w:szCs w:val="21"/>
                <w:lang w:val="en-US" w:eastAsia="zh-CN"/>
              </w:rPr>
              <w:t>3</w:t>
            </w:r>
            <w:r>
              <w:rPr>
                <w:rFonts w:hint="eastAsia" w:ascii="宋体" w:hAnsi="宋体" w:cs="宋体"/>
                <w:szCs w:val="21"/>
              </w:rPr>
              <w:t>、合同签订前，成交供应商请按规定把履约保证金转入指定账户并把转款回单扫描件交采购人一份：</w:t>
            </w:r>
          </w:p>
          <w:p w14:paraId="55BEAEFE">
            <w:pPr>
              <w:pStyle w:val="4"/>
              <w:spacing w:line="360" w:lineRule="auto"/>
              <w:ind w:firstLine="420" w:firstLineChars="200"/>
              <w:rPr>
                <w:rFonts w:hint="eastAsia" w:ascii="宋体" w:hAnsi="宋体" w:cs="宋体"/>
                <w:szCs w:val="21"/>
              </w:rPr>
            </w:pPr>
            <w:r>
              <w:rPr>
                <w:rFonts w:hint="eastAsia" w:ascii="宋体" w:hAnsi="宋体" w:cs="宋体"/>
                <w:szCs w:val="21"/>
              </w:rPr>
              <w:t>开户名称：桂林电子科技大学</w:t>
            </w:r>
          </w:p>
          <w:p w14:paraId="422C9C2B">
            <w:pPr>
              <w:pStyle w:val="4"/>
              <w:spacing w:line="360" w:lineRule="auto"/>
              <w:ind w:firstLine="420" w:firstLineChars="200"/>
              <w:rPr>
                <w:rFonts w:ascii="宋体" w:hAnsi="宋体" w:cs="宋体"/>
                <w:szCs w:val="21"/>
              </w:rPr>
            </w:pPr>
            <w:r>
              <w:rPr>
                <w:rFonts w:hint="eastAsia" w:ascii="宋体" w:hAnsi="宋体" w:cs="宋体"/>
                <w:szCs w:val="21"/>
              </w:rPr>
              <w:t>开户银行：</w:t>
            </w:r>
            <w:r>
              <w:rPr>
                <w:rFonts w:hint="eastAsia"/>
              </w:rPr>
              <w:t>工商银行桂林市屏风支行</w:t>
            </w:r>
          </w:p>
          <w:p w14:paraId="43169150">
            <w:pPr>
              <w:snapToGrid w:val="0"/>
              <w:spacing w:line="320" w:lineRule="exact"/>
              <w:ind w:firstLine="420" w:firstLineChars="200"/>
              <w:rPr>
                <w:rFonts w:hint="eastAsia" w:ascii="宋体" w:hAnsi="宋体"/>
                <w:szCs w:val="21"/>
              </w:rPr>
            </w:pPr>
            <w:r>
              <w:rPr>
                <w:rFonts w:hint="eastAsia" w:ascii="宋体" w:hAnsi="宋体" w:cs="宋体"/>
                <w:szCs w:val="21"/>
              </w:rPr>
              <w:t>银行账号：</w:t>
            </w:r>
            <w:r>
              <w:rPr>
                <w:rFonts w:hint="eastAsia" w:ascii="宋体" w:hAnsi="宋体"/>
                <w:szCs w:val="21"/>
              </w:rPr>
              <w:t>2103 2152 0924 9017 694</w:t>
            </w:r>
          </w:p>
          <w:p w14:paraId="24F479A4">
            <w:pPr>
              <w:spacing w:line="160" w:lineRule="exact"/>
              <w:rPr>
                <w:rFonts w:hint="eastAsia" w:ascii="宋体" w:hAnsi="宋体"/>
                <w:b/>
                <w:bCs/>
              </w:rPr>
            </w:pPr>
          </w:p>
        </w:tc>
      </w:tr>
    </w:tbl>
    <w:p w14:paraId="18463868">
      <w:pPr>
        <w:pStyle w:val="2"/>
        <w:spacing w:before="156" w:beforeLines="50" w:after="0" w:line="360" w:lineRule="auto"/>
        <w:rPr>
          <w:rFonts w:hAnsi="宋体"/>
          <w:b w:val="0"/>
          <w:bCs w:val="0"/>
          <w:sz w:val="21"/>
          <w:szCs w:val="21"/>
        </w:rPr>
      </w:pPr>
    </w:p>
    <w:p w14:paraId="69098CDE">
      <w:pPr>
        <w:pStyle w:val="2"/>
        <w:spacing w:before="156" w:beforeLines="50" w:after="0" w:line="360" w:lineRule="auto"/>
        <w:rPr>
          <w:rFonts w:hAnsi="宋体"/>
          <w:b w:val="0"/>
          <w:bCs w:val="0"/>
          <w:sz w:val="21"/>
          <w:szCs w:val="21"/>
        </w:rPr>
      </w:pPr>
    </w:p>
    <w:p w14:paraId="2B92E460">
      <w:pPr>
        <w:pStyle w:val="2"/>
        <w:spacing w:before="156" w:beforeLines="50" w:after="0" w:line="360" w:lineRule="auto"/>
        <w:rPr>
          <w:rFonts w:hAnsi="宋体"/>
          <w:b w:val="0"/>
          <w:bCs w:val="0"/>
          <w:sz w:val="21"/>
          <w:szCs w:val="21"/>
        </w:rPr>
      </w:pPr>
    </w:p>
    <w:p w14:paraId="38DC6BFB">
      <w:pPr>
        <w:pStyle w:val="2"/>
        <w:spacing w:before="156" w:beforeLines="50" w:after="0" w:line="360" w:lineRule="auto"/>
        <w:rPr>
          <w:rFonts w:hAnsi="宋体"/>
          <w:b w:val="0"/>
          <w:bCs w:val="0"/>
          <w:sz w:val="21"/>
          <w:szCs w:val="21"/>
        </w:rPr>
      </w:pPr>
    </w:p>
    <w:p w14:paraId="6FE8BCFB">
      <w:pPr>
        <w:pStyle w:val="2"/>
        <w:spacing w:before="156" w:beforeLines="50" w:after="0" w:line="360" w:lineRule="auto"/>
        <w:rPr>
          <w:rFonts w:hAnsi="宋体"/>
          <w:b w:val="0"/>
          <w:bCs w:val="0"/>
          <w:sz w:val="21"/>
          <w:szCs w:val="21"/>
        </w:rPr>
      </w:pPr>
    </w:p>
    <w:p w14:paraId="50423E02">
      <w:pPr>
        <w:rPr>
          <w:rFonts w:hAnsi="宋体"/>
          <w:b w:val="0"/>
          <w:bCs w:val="0"/>
          <w:sz w:val="21"/>
          <w:szCs w:val="21"/>
        </w:rPr>
      </w:pPr>
    </w:p>
    <w:p w14:paraId="65D100D9">
      <w:pPr>
        <w:rPr>
          <w:rFonts w:hAnsi="宋体"/>
          <w:b w:val="0"/>
          <w:bCs w:val="0"/>
          <w:sz w:val="21"/>
          <w:szCs w:val="21"/>
        </w:rPr>
      </w:pPr>
    </w:p>
    <w:p w14:paraId="6695B1A0">
      <w:pPr>
        <w:rPr>
          <w:rFonts w:hAnsi="宋体"/>
          <w:b w:val="0"/>
          <w:bCs w:val="0"/>
          <w:sz w:val="21"/>
          <w:szCs w:val="21"/>
        </w:rPr>
      </w:pPr>
    </w:p>
    <w:p w14:paraId="149A37F5">
      <w:pPr>
        <w:rPr>
          <w:rFonts w:hAnsi="宋体"/>
          <w:b w:val="0"/>
          <w:bCs w:val="0"/>
          <w:sz w:val="21"/>
          <w:szCs w:val="21"/>
        </w:rPr>
      </w:pPr>
      <w:bookmarkStart w:id="0" w:name="_GoBack"/>
      <w:bookmarkEnd w:id="0"/>
    </w:p>
    <w:p w14:paraId="51217A48">
      <w:pPr>
        <w:pStyle w:val="2"/>
        <w:spacing w:before="156" w:beforeLines="50" w:after="0" w:line="360" w:lineRule="auto"/>
        <w:rPr>
          <w:rFonts w:hAnsi="宋体"/>
          <w:b w:val="0"/>
          <w:bCs w:val="0"/>
          <w:sz w:val="21"/>
          <w:szCs w:val="21"/>
        </w:rPr>
      </w:pPr>
    </w:p>
    <w:p w14:paraId="38AB8F62">
      <w:pPr>
        <w:rPr>
          <w:rFonts w:hAnsi="宋体"/>
          <w:b w:val="0"/>
          <w:bCs w:val="0"/>
          <w:sz w:val="21"/>
          <w:szCs w:val="21"/>
        </w:rPr>
      </w:pPr>
    </w:p>
    <w:p w14:paraId="36EA1F85">
      <w:pPr>
        <w:rPr>
          <w:rFonts w:hAnsi="宋体"/>
          <w:b w:val="0"/>
          <w:bCs w:val="0"/>
          <w:sz w:val="21"/>
          <w:szCs w:val="21"/>
        </w:rPr>
      </w:pPr>
    </w:p>
    <w:p w14:paraId="557B6BF5">
      <w:pPr>
        <w:pStyle w:val="2"/>
        <w:spacing w:before="156" w:beforeLines="50" w:after="0" w:line="360" w:lineRule="auto"/>
        <w:rPr>
          <w:rFonts w:hAnsi="宋体"/>
          <w:b w:val="0"/>
          <w:bCs w:val="0"/>
          <w:sz w:val="21"/>
          <w:szCs w:val="21"/>
        </w:rPr>
      </w:pPr>
    </w:p>
    <w:p w14:paraId="4F256DE3">
      <w:pPr>
        <w:pStyle w:val="2"/>
        <w:spacing w:before="156" w:beforeLines="50" w:after="0" w:line="360" w:lineRule="auto"/>
        <w:rPr>
          <w:b w:val="0"/>
          <w:bCs w:val="0"/>
          <w:color w:val="000000"/>
          <w:sz w:val="21"/>
          <w:szCs w:val="21"/>
        </w:rPr>
      </w:pPr>
      <w:r>
        <w:rPr>
          <w:rFonts w:hAnsi="宋体"/>
          <w:b w:val="0"/>
          <w:bCs w:val="0"/>
          <w:sz w:val="21"/>
          <w:szCs w:val="21"/>
        </w:rPr>
        <w:t>格式文件</w:t>
      </w:r>
    </w:p>
    <w:p w14:paraId="22EBDA4C">
      <w:pPr>
        <w:pStyle w:val="2"/>
        <w:spacing w:before="156" w:beforeLines="50" w:after="0" w:line="360" w:lineRule="auto"/>
        <w:jc w:val="center"/>
        <w:rPr>
          <w:b w:val="0"/>
          <w:bCs w:val="0"/>
          <w:color w:val="000000"/>
          <w:sz w:val="36"/>
          <w:szCs w:val="36"/>
        </w:rPr>
      </w:pPr>
      <w:r>
        <w:rPr>
          <w:b w:val="0"/>
          <w:bCs w:val="0"/>
          <w:color w:val="000000"/>
          <w:sz w:val="36"/>
          <w:szCs w:val="36"/>
        </w:rPr>
        <w:t>采购需求响应表</w:t>
      </w:r>
    </w:p>
    <w:tbl>
      <w:tblPr>
        <w:tblStyle w:val="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6"/>
        <w:gridCol w:w="1321"/>
        <w:gridCol w:w="1984"/>
        <w:gridCol w:w="1418"/>
        <w:gridCol w:w="1559"/>
        <w:gridCol w:w="1735"/>
      </w:tblGrid>
      <w:tr w14:paraId="73BBF7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8" w:hRule="atLeas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68184756">
            <w:pPr>
              <w:snapToGrid w:val="0"/>
              <w:spacing w:before="156" w:beforeLines="50"/>
              <w:jc w:val="center"/>
              <w:rPr>
                <w:rFonts w:ascii="Arial" w:hAnsi="Arial" w:cs="Arial"/>
                <w:szCs w:val="21"/>
              </w:rPr>
            </w:pPr>
            <w:r>
              <w:rPr>
                <w:rFonts w:ascii="Arial" w:hAnsi="Arial" w:cs="Arial"/>
                <w:szCs w:val="21"/>
              </w:rPr>
              <w:t>序号</w:t>
            </w:r>
          </w:p>
        </w:tc>
        <w:tc>
          <w:tcPr>
            <w:tcW w:w="1321" w:type="dxa"/>
            <w:tcBorders>
              <w:top w:val="single" w:color="auto" w:sz="4" w:space="0"/>
              <w:left w:val="single" w:color="auto" w:sz="4" w:space="0"/>
              <w:bottom w:val="single" w:color="auto" w:sz="4" w:space="0"/>
              <w:right w:val="single" w:color="auto" w:sz="4" w:space="0"/>
            </w:tcBorders>
            <w:noWrap w:val="0"/>
            <w:vAlign w:val="center"/>
          </w:tcPr>
          <w:p w14:paraId="10CDDCFB">
            <w:pPr>
              <w:snapToGrid w:val="0"/>
              <w:spacing w:before="156" w:beforeLines="50"/>
              <w:jc w:val="center"/>
              <w:rPr>
                <w:rFonts w:ascii="Arial" w:hAnsi="Arial" w:cs="Arial"/>
                <w:szCs w:val="21"/>
              </w:rPr>
            </w:pPr>
            <w:r>
              <w:rPr>
                <w:rFonts w:hint="eastAsia" w:ascii="Arial" w:hAnsi="Arial" w:cs="Arial"/>
                <w:szCs w:val="21"/>
              </w:rPr>
              <w:t>货物名称</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55AB33A0">
            <w:pPr>
              <w:snapToGrid w:val="0"/>
              <w:spacing w:before="156" w:beforeLines="50"/>
              <w:jc w:val="center"/>
              <w:rPr>
                <w:rFonts w:ascii="Arial" w:hAnsi="Arial" w:cs="Arial"/>
                <w:szCs w:val="21"/>
              </w:rPr>
            </w:pPr>
            <w:r>
              <w:rPr>
                <w:rFonts w:ascii="Arial" w:hAnsi="Arial" w:cs="Arial"/>
                <w:szCs w:val="21"/>
              </w:rPr>
              <w:t>采购文件要求</w:t>
            </w:r>
          </w:p>
          <w:p w14:paraId="7F4B463C">
            <w:pPr>
              <w:snapToGrid w:val="0"/>
              <w:spacing w:before="156" w:beforeLines="50"/>
              <w:jc w:val="center"/>
              <w:rPr>
                <w:rFonts w:ascii="Arial" w:hAnsi="Arial" w:cs="Arial"/>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794750A4">
            <w:pPr>
              <w:snapToGrid w:val="0"/>
              <w:spacing w:before="156" w:beforeLines="50"/>
              <w:jc w:val="center"/>
              <w:rPr>
                <w:rFonts w:ascii="Arial" w:hAnsi="Arial" w:cs="Arial"/>
                <w:szCs w:val="21"/>
              </w:rPr>
            </w:pPr>
            <w:r>
              <w:rPr>
                <w:rFonts w:ascii="Arial" w:hAnsi="Arial" w:cs="Arial"/>
                <w:szCs w:val="21"/>
              </w:rPr>
              <w:t>响应文件响应内容</w:t>
            </w:r>
          </w:p>
        </w:tc>
        <w:tc>
          <w:tcPr>
            <w:tcW w:w="1559" w:type="dxa"/>
            <w:tcBorders>
              <w:top w:val="single" w:color="auto" w:sz="4" w:space="0"/>
              <w:left w:val="single" w:color="auto" w:sz="4" w:space="0"/>
              <w:bottom w:val="single" w:color="auto" w:sz="4" w:space="0"/>
              <w:right w:val="single" w:color="auto" w:sz="4" w:space="0"/>
            </w:tcBorders>
            <w:noWrap w:val="0"/>
            <w:vAlign w:val="center"/>
          </w:tcPr>
          <w:p w14:paraId="5E273798">
            <w:pPr>
              <w:snapToGrid w:val="0"/>
              <w:spacing w:before="156" w:beforeLines="50"/>
              <w:jc w:val="center"/>
              <w:rPr>
                <w:rFonts w:ascii="Arial" w:hAnsi="Arial" w:cs="Arial"/>
                <w:szCs w:val="21"/>
              </w:rPr>
            </w:pPr>
            <w:r>
              <w:rPr>
                <w:rFonts w:ascii="Arial" w:hAnsi="Arial" w:cs="Arial"/>
              </w:rPr>
              <w:t>质保年限</w:t>
            </w:r>
            <w:r>
              <w:rPr>
                <w:rFonts w:hint="eastAsia" w:ascii="Arial" w:hAnsi="Arial" w:cs="Arial"/>
              </w:rPr>
              <w:t>（年</w:t>
            </w:r>
            <w:r>
              <w:rPr>
                <w:rFonts w:ascii="Arial" w:hAnsi="Arial" w:cs="Arial"/>
              </w:rPr>
              <w:t>）</w:t>
            </w:r>
          </w:p>
        </w:tc>
        <w:tc>
          <w:tcPr>
            <w:tcW w:w="1735" w:type="dxa"/>
            <w:tcBorders>
              <w:top w:val="single" w:color="auto" w:sz="4" w:space="0"/>
              <w:left w:val="single" w:color="auto" w:sz="4" w:space="0"/>
              <w:bottom w:val="single" w:color="auto" w:sz="4" w:space="0"/>
              <w:right w:val="single" w:color="auto" w:sz="4" w:space="0"/>
            </w:tcBorders>
            <w:noWrap w:val="0"/>
            <w:vAlign w:val="top"/>
          </w:tcPr>
          <w:p w14:paraId="476CD9EE">
            <w:pPr>
              <w:snapToGrid w:val="0"/>
              <w:spacing w:before="156" w:beforeLines="50"/>
              <w:jc w:val="center"/>
              <w:rPr>
                <w:rFonts w:ascii="Arial" w:hAnsi="Arial" w:cs="Arial"/>
              </w:rPr>
            </w:pPr>
            <w:r>
              <w:rPr>
                <w:rFonts w:hint="eastAsia" w:ascii="仿宋" w:hAnsi="仿宋" w:eastAsia="仿宋"/>
                <w:sz w:val="24"/>
              </w:rPr>
              <w:t>故障处理响应时间（小时）</w:t>
            </w:r>
          </w:p>
        </w:tc>
      </w:tr>
      <w:tr w14:paraId="130335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22B18CE4">
            <w:pPr>
              <w:snapToGrid w:val="0"/>
              <w:spacing w:before="156" w:beforeLines="50"/>
              <w:jc w:val="center"/>
              <w:rPr>
                <w:rFonts w:ascii="Arial" w:hAnsi="Arial" w:cs="Arial"/>
                <w:szCs w:val="21"/>
              </w:rPr>
            </w:pPr>
          </w:p>
        </w:tc>
        <w:tc>
          <w:tcPr>
            <w:tcW w:w="1321" w:type="dxa"/>
            <w:tcBorders>
              <w:top w:val="single" w:color="auto" w:sz="4" w:space="0"/>
              <w:left w:val="single" w:color="auto" w:sz="4" w:space="0"/>
              <w:bottom w:val="single" w:color="auto" w:sz="4" w:space="0"/>
              <w:right w:val="single" w:color="auto" w:sz="4" w:space="0"/>
            </w:tcBorders>
            <w:noWrap w:val="0"/>
            <w:vAlign w:val="center"/>
          </w:tcPr>
          <w:p w14:paraId="1DE3F558">
            <w:pPr>
              <w:snapToGrid w:val="0"/>
              <w:spacing w:before="156" w:beforeLines="50"/>
              <w:jc w:val="center"/>
              <w:rPr>
                <w:rFonts w:ascii="Arial" w:hAnsi="Arial" w:cs="Arial"/>
                <w:szCs w:val="21"/>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14:paraId="3F3723AE">
            <w:pPr>
              <w:snapToGrid w:val="0"/>
              <w:spacing w:before="156" w:beforeLines="50"/>
              <w:jc w:val="center"/>
              <w:rPr>
                <w:rFonts w:ascii="Arial" w:hAnsi="Arial" w:cs="Arial"/>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3A0DE8AC">
            <w:pPr>
              <w:snapToGrid w:val="0"/>
              <w:spacing w:before="156" w:beforeLines="50"/>
              <w:jc w:val="center"/>
              <w:rPr>
                <w:rFonts w:ascii="Arial" w:hAnsi="Arial" w:cs="Arial"/>
                <w:szCs w:val="21"/>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60AC13A6">
            <w:pPr>
              <w:snapToGrid w:val="0"/>
              <w:spacing w:before="156" w:beforeLines="50"/>
              <w:jc w:val="center"/>
              <w:rPr>
                <w:rFonts w:ascii="Arial" w:hAnsi="Arial" w:cs="Arial"/>
                <w:szCs w:val="21"/>
              </w:rPr>
            </w:pPr>
          </w:p>
        </w:tc>
        <w:tc>
          <w:tcPr>
            <w:tcW w:w="1735" w:type="dxa"/>
            <w:tcBorders>
              <w:top w:val="single" w:color="auto" w:sz="4" w:space="0"/>
              <w:left w:val="single" w:color="auto" w:sz="4" w:space="0"/>
              <w:bottom w:val="single" w:color="auto" w:sz="4" w:space="0"/>
              <w:right w:val="single" w:color="auto" w:sz="4" w:space="0"/>
            </w:tcBorders>
            <w:noWrap w:val="0"/>
            <w:vAlign w:val="top"/>
          </w:tcPr>
          <w:p w14:paraId="1581DC6D">
            <w:pPr>
              <w:snapToGrid w:val="0"/>
              <w:spacing w:before="156" w:beforeLines="50"/>
              <w:jc w:val="center"/>
              <w:rPr>
                <w:rFonts w:ascii="Arial" w:hAnsi="Arial" w:cs="Arial"/>
                <w:szCs w:val="21"/>
              </w:rPr>
            </w:pPr>
          </w:p>
        </w:tc>
      </w:tr>
      <w:tr w14:paraId="649850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46F351EA">
            <w:pPr>
              <w:snapToGrid w:val="0"/>
              <w:spacing w:before="156" w:beforeLines="50"/>
              <w:jc w:val="center"/>
              <w:rPr>
                <w:rFonts w:ascii="Arial" w:hAnsi="Arial" w:cs="Arial"/>
                <w:szCs w:val="21"/>
              </w:rPr>
            </w:pPr>
          </w:p>
        </w:tc>
        <w:tc>
          <w:tcPr>
            <w:tcW w:w="1321" w:type="dxa"/>
            <w:tcBorders>
              <w:top w:val="single" w:color="auto" w:sz="4" w:space="0"/>
              <w:left w:val="single" w:color="auto" w:sz="4" w:space="0"/>
              <w:bottom w:val="single" w:color="auto" w:sz="4" w:space="0"/>
              <w:right w:val="single" w:color="auto" w:sz="4" w:space="0"/>
            </w:tcBorders>
            <w:noWrap w:val="0"/>
            <w:vAlign w:val="center"/>
          </w:tcPr>
          <w:p w14:paraId="419121E5">
            <w:pPr>
              <w:snapToGrid w:val="0"/>
              <w:spacing w:before="156" w:beforeLines="50"/>
              <w:jc w:val="center"/>
              <w:rPr>
                <w:rFonts w:ascii="Arial" w:hAnsi="Arial" w:cs="Arial"/>
                <w:szCs w:val="21"/>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14:paraId="5684E67B">
            <w:pPr>
              <w:snapToGrid w:val="0"/>
              <w:spacing w:before="156" w:beforeLines="50"/>
              <w:jc w:val="center"/>
              <w:rPr>
                <w:rFonts w:ascii="Arial" w:hAnsi="Arial" w:cs="Arial"/>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09BE7094">
            <w:pPr>
              <w:snapToGrid w:val="0"/>
              <w:spacing w:before="156" w:beforeLines="50"/>
              <w:jc w:val="center"/>
              <w:rPr>
                <w:rFonts w:ascii="Arial" w:hAnsi="Arial" w:cs="Arial"/>
                <w:szCs w:val="21"/>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6102C1F0">
            <w:pPr>
              <w:snapToGrid w:val="0"/>
              <w:spacing w:before="156" w:beforeLines="50"/>
              <w:jc w:val="center"/>
              <w:rPr>
                <w:rFonts w:ascii="Arial" w:hAnsi="Arial" w:cs="Arial"/>
                <w:szCs w:val="21"/>
              </w:rPr>
            </w:pPr>
          </w:p>
        </w:tc>
        <w:tc>
          <w:tcPr>
            <w:tcW w:w="1735" w:type="dxa"/>
            <w:tcBorders>
              <w:top w:val="single" w:color="auto" w:sz="4" w:space="0"/>
              <w:left w:val="single" w:color="auto" w:sz="4" w:space="0"/>
              <w:bottom w:val="single" w:color="auto" w:sz="4" w:space="0"/>
              <w:right w:val="single" w:color="auto" w:sz="4" w:space="0"/>
            </w:tcBorders>
            <w:noWrap w:val="0"/>
            <w:vAlign w:val="top"/>
          </w:tcPr>
          <w:p w14:paraId="3927AC84">
            <w:pPr>
              <w:snapToGrid w:val="0"/>
              <w:spacing w:before="156" w:beforeLines="50"/>
              <w:jc w:val="center"/>
              <w:rPr>
                <w:rFonts w:ascii="Arial" w:hAnsi="Arial" w:cs="Arial"/>
                <w:szCs w:val="21"/>
              </w:rPr>
            </w:pPr>
          </w:p>
        </w:tc>
      </w:tr>
      <w:tr w14:paraId="36DE04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02F89FB8">
            <w:pPr>
              <w:snapToGrid w:val="0"/>
              <w:spacing w:before="156" w:beforeLines="50"/>
              <w:jc w:val="center"/>
              <w:rPr>
                <w:rFonts w:ascii="Arial" w:hAnsi="Arial" w:cs="Arial"/>
                <w:szCs w:val="21"/>
              </w:rPr>
            </w:pPr>
          </w:p>
        </w:tc>
        <w:tc>
          <w:tcPr>
            <w:tcW w:w="1321" w:type="dxa"/>
            <w:tcBorders>
              <w:top w:val="single" w:color="auto" w:sz="4" w:space="0"/>
              <w:left w:val="single" w:color="auto" w:sz="4" w:space="0"/>
              <w:bottom w:val="single" w:color="auto" w:sz="4" w:space="0"/>
              <w:right w:val="single" w:color="auto" w:sz="4" w:space="0"/>
            </w:tcBorders>
            <w:noWrap w:val="0"/>
            <w:vAlign w:val="center"/>
          </w:tcPr>
          <w:p w14:paraId="4A8332D9">
            <w:pPr>
              <w:snapToGrid w:val="0"/>
              <w:spacing w:before="156" w:beforeLines="50"/>
              <w:jc w:val="center"/>
              <w:rPr>
                <w:rFonts w:ascii="Arial" w:hAnsi="Arial" w:cs="Arial"/>
                <w:szCs w:val="21"/>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14:paraId="2BA5FDBC">
            <w:pPr>
              <w:snapToGrid w:val="0"/>
              <w:spacing w:before="156" w:beforeLines="50"/>
              <w:jc w:val="center"/>
              <w:rPr>
                <w:rFonts w:ascii="Arial" w:hAnsi="Arial" w:cs="Arial"/>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4416A34B">
            <w:pPr>
              <w:snapToGrid w:val="0"/>
              <w:spacing w:before="156" w:beforeLines="50"/>
              <w:jc w:val="center"/>
              <w:rPr>
                <w:rFonts w:ascii="Arial" w:hAnsi="Arial" w:cs="Arial"/>
                <w:szCs w:val="21"/>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2C7B4068">
            <w:pPr>
              <w:snapToGrid w:val="0"/>
              <w:spacing w:before="156" w:beforeLines="50"/>
              <w:jc w:val="center"/>
              <w:rPr>
                <w:rFonts w:ascii="Arial" w:hAnsi="Arial" w:cs="Arial"/>
                <w:szCs w:val="21"/>
              </w:rPr>
            </w:pPr>
          </w:p>
        </w:tc>
        <w:tc>
          <w:tcPr>
            <w:tcW w:w="1735" w:type="dxa"/>
            <w:tcBorders>
              <w:top w:val="single" w:color="auto" w:sz="4" w:space="0"/>
              <w:left w:val="single" w:color="auto" w:sz="4" w:space="0"/>
              <w:bottom w:val="single" w:color="auto" w:sz="4" w:space="0"/>
              <w:right w:val="single" w:color="auto" w:sz="4" w:space="0"/>
            </w:tcBorders>
            <w:noWrap w:val="0"/>
            <w:vAlign w:val="top"/>
          </w:tcPr>
          <w:p w14:paraId="4682BCD0">
            <w:pPr>
              <w:snapToGrid w:val="0"/>
              <w:spacing w:before="156" w:beforeLines="50"/>
              <w:jc w:val="center"/>
              <w:rPr>
                <w:rFonts w:ascii="Arial" w:hAnsi="Arial" w:cs="Arial"/>
                <w:szCs w:val="21"/>
              </w:rPr>
            </w:pPr>
          </w:p>
        </w:tc>
      </w:tr>
      <w:tr w14:paraId="73F2BD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30668B82">
            <w:pPr>
              <w:snapToGrid w:val="0"/>
              <w:spacing w:before="156" w:beforeLines="50"/>
              <w:jc w:val="center"/>
              <w:rPr>
                <w:rFonts w:ascii="Arial" w:hAnsi="Arial" w:cs="Arial"/>
                <w:szCs w:val="21"/>
              </w:rPr>
            </w:pPr>
            <w:r>
              <w:rPr>
                <w:rFonts w:ascii="Arial" w:hAnsi="Arial" w:cs="Arial"/>
                <w:szCs w:val="21"/>
              </w:rPr>
              <w:t>……</w:t>
            </w:r>
          </w:p>
        </w:tc>
        <w:tc>
          <w:tcPr>
            <w:tcW w:w="1321" w:type="dxa"/>
            <w:tcBorders>
              <w:top w:val="single" w:color="auto" w:sz="4" w:space="0"/>
              <w:left w:val="single" w:color="auto" w:sz="4" w:space="0"/>
              <w:bottom w:val="single" w:color="auto" w:sz="4" w:space="0"/>
              <w:right w:val="single" w:color="auto" w:sz="4" w:space="0"/>
            </w:tcBorders>
            <w:noWrap w:val="0"/>
            <w:vAlign w:val="center"/>
          </w:tcPr>
          <w:p w14:paraId="1023FA4D">
            <w:pPr>
              <w:snapToGrid w:val="0"/>
              <w:spacing w:before="156" w:beforeLines="50"/>
              <w:jc w:val="center"/>
              <w:rPr>
                <w:rFonts w:ascii="Arial" w:hAnsi="Arial" w:cs="Arial"/>
                <w:szCs w:val="21"/>
              </w:rPr>
            </w:pPr>
            <w:r>
              <w:rPr>
                <w:rFonts w:ascii="Arial" w:hAnsi="Arial" w:cs="Arial"/>
                <w:szCs w:val="21"/>
              </w:rPr>
              <w:t>……</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6BAE16CC">
            <w:pPr>
              <w:snapToGrid w:val="0"/>
              <w:spacing w:before="156" w:beforeLines="50"/>
              <w:jc w:val="center"/>
              <w:rPr>
                <w:rFonts w:ascii="Arial" w:hAnsi="Arial" w:cs="Arial"/>
                <w:szCs w:val="21"/>
              </w:rPr>
            </w:pPr>
            <w:r>
              <w:rPr>
                <w:rFonts w:ascii="Arial" w:hAnsi="Arial" w:cs="Arial"/>
                <w:szCs w:val="21"/>
              </w:rPr>
              <w:t>……</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5161CD47">
            <w:pPr>
              <w:snapToGrid w:val="0"/>
              <w:spacing w:before="156" w:beforeLines="50"/>
              <w:jc w:val="center"/>
              <w:rPr>
                <w:rFonts w:ascii="Arial" w:hAnsi="Arial" w:cs="Arial"/>
                <w:szCs w:val="21"/>
              </w:rPr>
            </w:pPr>
            <w:r>
              <w:rPr>
                <w:rFonts w:ascii="Arial" w:hAnsi="Arial" w:cs="Arial"/>
                <w:szCs w:val="21"/>
              </w:rPr>
              <w:t>……</w:t>
            </w:r>
          </w:p>
        </w:tc>
        <w:tc>
          <w:tcPr>
            <w:tcW w:w="1559" w:type="dxa"/>
            <w:tcBorders>
              <w:top w:val="single" w:color="auto" w:sz="4" w:space="0"/>
              <w:left w:val="single" w:color="auto" w:sz="4" w:space="0"/>
              <w:bottom w:val="single" w:color="auto" w:sz="4" w:space="0"/>
              <w:right w:val="single" w:color="auto" w:sz="4" w:space="0"/>
            </w:tcBorders>
            <w:noWrap w:val="0"/>
            <w:vAlign w:val="top"/>
          </w:tcPr>
          <w:p w14:paraId="5DD6EB89">
            <w:pPr>
              <w:snapToGrid w:val="0"/>
              <w:spacing w:before="156" w:beforeLines="50"/>
              <w:jc w:val="center"/>
              <w:rPr>
                <w:rFonts w:ascii="Arial" w:hAnsi="Arial" w:cs="Arial"/>
                <w:szCs w:val="21"/>
              </w:rPr>
            </w:pPr>
          </w:p>
        </w:tc>
        <w:tc>
          <w:tcPr>
            <w:tcW w:w="1735" w:type="dxa"/>
            <w:tcBorders>
              <w:top w:val="single" w:color="auto" w:sz="4" w:space="0"/>
              <w:left w:val="single" w:color="auto" w:sz="4" w:space="0"/>
              <w:bottom w:val="single" w:color="auto" w:sz="4" w:space="0"/>
              <w:right w:val="single" w:color="auto" w:sz="4" w:space="0"/>
            </w:tcBorders>
            <w:noWrap w:val="0"/>
            <w:vAlign w:val="top"/>
          </w:tcPr>
          <w:p w14:paraId="60324D66">
            <w:pPr>
              <w:snapToGrid w:val="0"/>
              <w:spacing w:before="156" w:beforeLines="50"/>
              <w:jc w:val="center"/>
              <w:rPr>
                <w:rFonts w:ascii="Arial" w:hAnsi="Arial" w:cs="Arial"/>
                <w:szCs w:val="21"/>
              </w:rPr>
            </w:pPr>
          </w:p>
        </w:tc>
      </w:tr>
    </w:tbl>
    <w:p w14:paraId="3897B695"/>
    <w:p w14:paraId="0FCE62D5"/>
    <w:p w14:paraId="65CCA6FC"/>
    <w:p w14:paraId="1E951270">
      <w:r>
        <w:t>供应商名称（盖章）</w:t>
      </w:r>
      <w:r>
        <w:rPr>
          <w:rFonts w:hint="eastAsia" w:ascii="Arial" w:hAnsi="Arial" w:cs="Arial"/>
          <w:szCs w:val="21"/>
        </w:rPr>
        <w:t xml:space="preserve"> </w:t>
      </w:r>
      <w:r>
        <w:rPr>
          <w:rFonts w:hint="eastAsia"/>
        </w:rPr>
        <w:t xml:space="preserve"> ：                        年   月   日</w:t>
      </w:r>
    </w:p>
    <w:p w14:paraId="34250D9A"/>
    <w:p w14:paraId="461E78B0">
      <w:pPr>
        <w:pStyle w:val="5"/>
        <w:rPr>
          <w:rFonts w:hint="eastAsia"/>
        </w:rPr>
      </w:pPr>
    </w:p>
    <w:p w14:paraId="575AC197">
      <w:pPr>
        <w:pStyle w:val="5"/>
        <w:rPr>
          <w:rFonts w:hint="eastAsia"/>
        </w:rPr>
      </w:pPr>
    </w:p>
    <w:p w14:paraId="7BC2BA06">
      <w:pPr>
        <w:pStyle w:val="5"/>
        <w:rPr>
          <w:rFonts w:hint="eastAsia"/>
        </w:rPr>
      </w:pPr>
    </w:p>
    <w:p w14:paraId="0604A17B">
      <w:pPr>
        <w:spacing w:line="360" w:lineRule="auto"/>
        <w:jc w:val="center"/>
        <w:rPr>
          <w:rFonts w:hint="eastAsia" w:ascii="宋体" w:hAnsi="宋体" w:cs="宋体"/>
          <w:bCs/>
          <w:sz w:val="44"/>
          <w:szCs w:val="44"/>
        </w:rPr>
      </w:pPr>
      <w:r>
        <w:rPr>
          <w:rFonts w:hint="eastAsia" w:ascii="宋体" w:hAnsi="宋体" w:cs="宋体"/>
          <w:bCs/>
          <w:sz w:val="44"/>
          <w:szCs w:val="44"/>
        </w:rPr>
        <w:t>商务要求响应表</w:t>
      </w:r>
    </w:p>
    <w:p w14:paraId="304B846E">
      <w:pPr>
        <w:snapToGrid w:val="0"/>
        <w:spacing w:line="360" w:lineRule="auto"/>
        <w:jc w:val="left"/>
        <w:rPr>
          <w:rFonts w:hint="eastAsia" w:ascii="仿宋" w:hAnsi="仿宋" w:eastAsia="仿宋" w:cs="仿宋"/>
          <w:sz w:val="24"/>
        </w:rPr>
      </w:pPr>
    </w:p>
    <w:tbl>
      <w:tblPr>
        <w:tblStyle w:val="9"/>
        <w:tblpPr w:leftFromText="180" w:rightFromText="180" w:vertAnchor="text" w:horzAnchor="margin" w:tblpY="311"/>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599"/>
        <w:gridCol w:w="3592"/>
        <w:gridCol w:w="3419"/>
      </w:tblGrid>
      <w:tr w14:paraId="241228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2599" w:type="dxa"/>
            <w:tcBorders>
              <w:top w:val="single" w:color="auto" w:sz="4" w:space="0"/>
              <w:left w:val="single" w:color="auto" w:sz="4" w:space="0"/>
              <w:bottom w:val="single" w:color="auto" w:sz="4" w:space="0"/>
              <w:right w:val="single" w:color="auto" w:sz="4" w:space="0"/>
            </w:tcBorders>
            <w:noWrap w:val="0"/>
            <w:vAlign w:val="center"/>
          </w:tcPr>
          <w:p w14:paraId="5CD544A2">
            <w:pPr>
              <w:snapToGrid w:val="0"/>
              <w:spacing w:line="500" w:lineRule="exact"/>
              <w:jc w:val="center"/>
              <w:rPr>
                <w:rFonts w:hint="eastAsia" w:ascii="宋体" w:hAnsi="宋体" w:cs="宋体"/>
                <w:szCs w:val="21"/>
              </w:rPr>
            </w:pPr>
            <w:r>
              <w:rPr>
                <w:rFonts w:hint="eastAsia" w:ascii="宋体" w:hAnsi="宋体" w:cs="宋体"/>
                <w:szCs w:val="21"/>
              </w:rPr>
              <w:t>项目</w:t>
            </w:r>
          </w:p>
        </w:tc>
        <w:tc>
          <w:tcPr>
            <w:tcW w:w="3592" w:type="dxa"/>
            <w:tcBorders>
              <w:top w:val="single" w:color="auto" w:sz="4" w:space="0"/>
              <w:left w:val="single" w:color="auto" w:sz="4" w:space="0"/>
              <w:bottom w:val="single" w:color="auto" w:sz="4" w:space="0"/>
              <w:right w:val="single" w:color="auto" w:sz="4" w:space="0"/>
            </w:tcBorders>
            <w:noWrap w:val="0"/>
            <w:vAlign w:val="center"/>
          </w:tcPr>
          <w:p w14:paraId="4F869A78">
            <w:pPr>
              <w:snapToGrid w:val="0"/>
              <w:spacing w:line="500" w:lineRule="exact"/>
              <w:jc w:val="center"/>
              <w:rPr>
                <w:rFonts w:hint="eastAsia" w:ascii="宋体" w:hAnsi="宋体" w:cs="宋体"/>
                <w:szCs w:val="21"/>
              </w:rPr>
            </w:pPr>
            <w:r>
              <w:rPr>
                <w:rFonts w:hint="eastAsia" w:ascii="宋体" w:hAnsi="宋体" w:cs="宋体"/>
                <w:szCs w:val="21"/>
              </w:rPr>
              <w:t>采购文件商务要求</w:t>
            </w:r>
          </w:p>
        </w:tc>
        <w:tc>
          <w:tcPr>
            <w:tcW w:w="3419" w:type="dxa"/>
            <w:tcBorders>
              <w:top w:val="single" w:color="auto" w:sz="4" w:space="0"/>
              <w:left w:val="single" w:color="auto" w:sz="4" w:space="0"/>
              <w:bottom w:val="single" w:color="auto" w:sz="4" w:space="0"/>
              <w:right w:val="single" w:color="auto" w:sz="4" w:space="0"/>
            </w:tcBorders>
            <w:noWrap w:val="0"/>
            <w:vAlign w:val="center"/>
          </w:tcPr>
          <w:p w14:paraId="5BCDC652">
            <w:pPr>
              <w:snapToGrid w:val="0"/>
              <w:spacing w:line="500" w:lineRule="exact"/>
              <w:jc w:val="center"/>
              <w:rPr>
                <w:rFonts w:hint="eastAsia" w:ascii="宋体" w:hAnsi="宋体" w:cs="宋体"/>
                <w:szCs w:val="21"/>
              </w:rPr>
            </w:pPr>
            <w:r>
              <w:rPr>
                <w:rFonts w:hint="eastAsia" w:ascii="宋体" w:hAnsi="宋体" w:cs="宋体"/>
                <w:szCs w:val="21"/>
              </w:rPr>
              <w:t>供应商响应内容</w:t>
            </w:r>
          </w:p>
        </w:tc>
      </w:tr>
      <w:tr w14:paraId="1A2149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2599" w:type="dxa"/>
            <w:tcBorders>
              <w:top w:val="single" w:color="auto" w:sz="4" w:space="0"/>
              <w:left w:val="single" w:color="auto" w:sz="4" w:space="0"/>
              <w:bottom w:val="single" w:color="auto" w:sz="4" w:space="0"/>
              <w:right w:val="single" w:color="auto" w:sz="4" w:space="0"/>
            </w:tcBorders>
            <w:noWrap w:val="0"/>
            <w:vAlign w:val="center"/>
          </w:tcPr>
          <w:p w14:paraId="3292C183">
            <w:pPr>
              <w:spacing w:line="500" w:lineRule="exact"/>
              <w:jc w:val="center"/>
              <w:rPr>
                <w:rFonts w:hint="eastAsia" w:ascii="宋体" w:hAnsi="宋体" w:cs="宋体"/>
                <w:szCs w:val="21"/>
              </w:rPr>
            </w:pPr>
            <w:r>
              <w:rPr>
                <w:rFonts w:hint="eastAsia" w:ascii="宋体" w:hAnsi="宋体" w:cs="宋体"/>
                <w:szCs w:val="21"/>
              </w:rPr>
              <w:t>质保期</w:t>
            </w:r>
          </w:p>
        </w:tc>
        <w:tc>
          <w:tcPr>
            <w:tcW w:w="3592" w:type="dxa"/>
            <w:tcBorders>
              <w:top w:val="single" w:color="auto" w:sz="4" w:space="0"/>
              <w:left w:val="single" w:color="auto" w:sz="4" w:space="0"/>
              <w:bottom w:val="single" w:color="auto" w:sz="4" w:space="0"/>
              <w:right w:val="single" w:color="auto" w:sz="4" w:space="0"/>
            </w:tcBorders>
            <w:noWrap w:val="0"/>
            <w:vAlign w:val="center"/>
          </w:tcPr>
          <w:p w14:paraId="1DE6F24E">
            <w:pPr>
              <w:spacing w:line="500" w:lineRule="exact"/>
              <w:jc w:val="center"/>
              <w:rPr>
                <w:rFonts w:hint="eastAsia" w:ascii="宋体" w:hAnsi="宋体" w:cs="宋体"/>
                <w:szCs w:val="21"/>
              </w:rPr>
            </w:pPr>
          </w:p>
        </w:tc>
        <w:tc>
          <w:tcPr>
            <w:tcW w:w="3419" w:type="dxa"/>
            <w:tcBorders>
              <w:top w:val="single" w:color="auto" w:sz="4" w:space="0"/>
              <w:left w:val="single" w:color="auto" w:sz="4" w:space="0"/>
              <w:bottom w:val="single" w:color="auto" w:sz="4" w:space="0"/>
              <w:right w:val="single" w:color="auto" w:sz="4" w:space="0"/>
            </w:tcBorders>
            <w:noWrap w:val="0"/>
            <w:vAlign w:val="center"/>
          </w:tcPr>
          <w:p w14:paraId="58D62865">
            <w:pPr>
              <w:snapToGrid w:val="0"/>
              <w:spacing w:line="500" w:lineRule="exact"/>
              <w:jc w:val="center"/>
              <w:rPr>
                <w:rFonts w:hint="eastAsia" w:ascii="宋体" w:hAnsi="宋体" w:cs="宋体"/>
                <w:szCs w:val="21"/>
              </w:rPr>
            </w:pPr>
          </w:p>
        </w:tc>
      </w:tr>
      <w:tr w14:paraId="4F6569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trPr>
        <w:tc>
          <w:tcPr>
            <w:tcW w:w="2599" w:type="dxa"/>
            <w:tcBorders>
              <w:top w:val="single" w:color="auto" w:sz="4" w:space="0"/>
              <w:left w:val="single" w:color="auto" w:sz="4" w:space="0"/>
              <w:bottom w:val="single" w:color="auto" w:sz="4" w:space="0"/>
              <w:right w:val="single" w:color="auto" w:sz="4" w:space="0"/>
            </w:tcBorders>
            <w:noWrap w:val="0"/>
            <w:vAlign w:val="center"/>
          </w:tcPr>
          <w:p w14:paraId="3CC1E640">
            <w:pPr>
              <w:spacing w:line="500" w:lineRule="exact"/>
              <w:jc w:val="center"/>
              <w:rPr>
                <w:rFonts w:hint="eastAsia" w:ascii="宋体" w:hAnsi="宋体" w:cs="宋体"/>
                <w:szCs w:val="21"/>
              </w:rPr>
            </w:pPr>
            <w:r>
              <w:rPr>
                <w:rFonts w:hint="eastAsia" w:ascii="宋体" w:hAnsi="宋体" w:cs="宋体"/>
                <w:szCs w:val="21"/>
              </w:rPr>
              <w:t>售后及技术服务要求</w:t>
            </w:r>
          </w:p>
        </w:tc>
        <w:tc>
          <w:tcPr>
            <w:tcW w:w="3592" w:type="dxa"/>
            <w:tcBorders>
              <w:top w:val="single" w:color="auto" w:sz="4" w:space="0"/>
              <w:left w:val="single" w:color="auto" w:sz="4" w:space="0"/>
              <w:bottom w:val="single" w:color="auto" w:sz="4" w:space="0"/>
              <w:right w:val="single" w:color="auto" w:sz="4" w:space="0"/>
            </w:tcBorders>
            <w:noWrap w:val="0"/>
            <w:vAlign w:val="center"/>
          </w:tcPr>
          <w:p w14:paraId="2848D3D4">
            <w:pPr>
              <w:spacing w:line="500" w:lineRule="exact"/>
              <w:jc w:val="center"/>
              <w:rPr>
                <w:rFonts w:hint="eastAsia" w:ascii="宋体" w:hAnsi="宋体" w:cs="宋体"/>
                <w:szCs w:val="21"/>
              </w:rPr>
            </w:pPr>
          </w:p>
        </w:tc>
        <w:tc>
          <w:tcPr>
            <w:tcW w:w="3419" w:type="dxa"/>
            <w:tcBorders>
              <w:top w:val="single" w:color="auto" w:sz="4" w:space="0"/>
              <w:left w:val="single" w:color="auto" w:sz="4" w:space="0"/>
              <w:bottom w:val="single" w:color="auto" w:sz="4" w:space="0"/>
              <w:right w:val="single" w:color="auto" w:sz="4" w:space="0"/>
            </w:tcBorders>
            <w:noWrap w:val="0"/>
            <w:vAlign w:val="center"/>
          </w:tcPr>
          <w:p w14:paraId="7179E96C">
            <w:pPr>
              <w:snapToGrid w:val="0"/>
              <w:spacing w:line="500" w:lineRule="exact"/>
              <w:jc w:val="center"/>
              <w:rPr>
                <w:rFonts w:hint="eastAsia" w:ascii="宋体" w:hAnsi="宋体" w:cs="宋体"/>
                <w:szCs w:val="21"/>
              </w:rPr>
            </w:pPr>
          </w:p>
        </w:tc>
      </w:tr>
      <w:tr w14:paraId="2C3E16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99" w:type="dxa"/>
            <w:tcBorders>
              <w:top w:val="single" w:color="auto" w:sz="4" w:space="0"/>
              <w:left w:val="single" w:color="auto" w:sz="4" w:space="0"/>
              <w:bottom w:val="single" w:color="auto" w:sz="4" w:space="0"/>
              <w:right w:val="single" w:color="auto" w:sz="4" w:space="0"/>
            </w:tcBorders>
            <w:noWrap w:val="0"/>
            <w:vAlign w:val="center"/>
          </w:tcPr>
          <w:p w14:paraId="2F169A07">
            <w:pPr>
              <w:snapToGrid w:val="0"/>
              <w:spacing w:line="500" w:lineRule="exact"/>
              <w:jc w:val="center"/>
              <w:rPr>
                <w:rFonts w:hint="eastAsia" w:ascii="宋体" w:hAnsi="宋体" w:cs="宋体"/>
                <w:szCs w:val="21"/>
              </w:rPr>
            </w:pPr>
            <w:r>
              <w:rPr>
                <w:rFonts w:hint="eastAsia" w:ascii="宋体" w:hAnsi="宋体" w:cs="宋体"/>
                <w:szCs w:val="21"/>
              </w:rPr>
              <w:t>交货时间、地点</w:t>
            </w:r>
          </w:p>
        </w:tc>
        <w:tc>
          <w:tcPr>
            <w:tcW w:w="3592" w:type="dxa"/>
            <w:tcBorders>
              <w:top w:val="single" w:color="auto" w:sz="4" w:space="0"/>
              <w:left w:val="single" w:color="auto" w:sz="4" w:space="0"/>
              <w:bottom w:val="single" w:color="auto" w:sz="4" w:space="0"/>
              <w:right w:val="single" w:color="auto" w:sz="4" w:space="0"/>
            </w:tcBorders>
            <w:noWrap w:val="0"/>
            <w:vAlign w:val="center"/>
          </w:tcPr>
          <w:p w14:paraId="4C551A9E">
            <w:pPr>
              <w:snapToGrid w:val="0"/>
              <w:spacing w:line="500" w:lineRule="exact"/>
              <w:jc w:val="center"/>
              <w:rPr>
                <w:rFonts w:hint="eastAsia" w:ascii="宋体" w:hAnsi="宋体" w:cs="宋体"/>
                <w:szCs w:val="21"/>
              </w:rPr>
            </w:pPr>
          </w:p>
        </w:tc>
        <w:tc>
          <w:tcPr>
            <w:tcW w:w="3419" w:type="dxa"/>
            <w:tcBorders>
              <w:top w:val="single" w:color="auto" w:sz="4" w:space="0"/>
              <w:left w:val="single" w:color="auto" w:sz="4" w:space="0"/>
              <w:bottom w:val="single" w:color="auto" w:sz="4" w:space="0"/>
              <w:right w:val="single" w:color="auto" w:sz="4" w:space="0"/>
            </w:tcBorders>
            <w:noWrap w:val="0"/>
            <w:vAlign w:val="center"/>
          </w:tcPr>
          <w:p w14:paraId="750A0D0B">
            <w:pPr>
              <w:snapToGrid w:val="0"/>
              <w:spacing w:line="500" w:lineRule="exact"/>
              <w:jc w:val="center"/>
              <w:rPr>
                <w:rFonts w:hint="eastAsia" w:ascii="宋体" w:hAnsi="宋体" w:cs="宋体"/>
                <w:szCs w:val="21"/>
              </w:rPr>
            </w:pPr>
          </w:p>
        </w:tc>
      </w:tr>
      <w:tr w14:paraId="520F6E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99" w:type="dxa"/>
            <w:tcBorders>
              <w:top w:val="single" w:color="auto" w:sz="4" w:space="0"/>
              <w:left w:val="single" w:color="auto" w:sz="4" w:space="0"/>
              <w:bottom w:val="single" w:color="auto" w:sz="4" w:space="0"/>
              <w:right w:val="single" w:color="auto" w:sz="4" w:space="0"/>
            </w:tcBorders>
            <w:noWrap w:val="0"/>
            <w:vAlign w:val="center"/>
          </w:tcPr>
          <w:p w14:paraId="7E9C2E40">
            <w:pPr>
              <w:snapToGrid w:val="0"/>
              <w:spacing w:line="500" w:lineRule="exact"/>
              <w:jc w:val="center"/>
              <w:rPr>
                <w:rFonts w:hint="eastAsia" w:ascii="仿宋" w:hAnsi="仿宋" w:eastAsia="仿宋" w:cs="仿宋"/>
                <w:sz w:val="24"/>
              </w:rPr>
            </w:pPr>
            <w:r>
              <w:rPr>
                <w:rFonts w:hint="eastAsia" w:ascii="仿宋" w:hAnsi="仿宋" w:eastAsia="仿宋" w:cs="仿宋"/>
                <w:sz w:val="24"/>
              </w:rPr>
              <w:t>…</w:t>
            </w:r>
          </w:p>
        </w:tc>
        <w:tc>
          <w:tcPr>
            <w:tcW w:w="3592" w:type="dxa"/>
            <w:tcBorders>
              <w:top w:val="single" w:color="auto" w:sz="4" w:space="0"/>
              <w:left w:val="single" w:color="auto" w:sz="4" w:space="0"/>
              <w:bottom w:val="single" w:color="auto" w:sz="4" w:space="0"/>
              <w:right w:val="single" w:color="auto" w:sz="4" w:space="0"/>
            </w:tcBorders>
            <w:noWrap w:val="0"/>
            <w:vAlign w:val="center"/>
          </w:tcPr>
          <w:p w14:paraId="1DCA22F0">
            <w:pPr>
              <w:snapToGrid w:val="0"/>
              <w:spacing w:line="500" w:lineRule="exact"/>
              <w:jc w:val="center"/>
              <w:rPr>
                <w:rFonts w:hint="eastAsia" w:ascii="仿宋" w:hAnsi="仿宋" w:eastAsia="仿宋" w:cs="仿宋"/>
                <w:sz w:val="24"/>
              </w:rPr>
            </w:pPr>
          </w:p>
        </w:tc>
        <w:tc>
          <w:tcPr>
            <w:tcW w:w="3419" w:type="dxa"/>
            <w:tcBorders>
              <w:top w:val="single" w:color="auto" w:sz="4" w:space="0"/>
              <w:left w:val="single" w:color="auto" w:sz="4" w:space="0"/>
              <w:bottom w:val="single" w:color="auto" w:sz="4" w:space="0"/>
              <w:right w:val="single" w:color="auto" w:sz="4" w:space="0"/>
            </w:tcBorders>
            <w:noWrap w:val="0"/>
            <w:vAlign w:val="center"/>
          </w:tcPr>
          <w:p w14:paraId="0EC32E24">
            <w:pPr>
              <w:snapToGrid w:val="0"/>
              <w:spacing w:line="500" w:lineRule="exact"/>
              <w:jc w:val="center"/>
              <w:rPr>
                <w:rFonts w:hint="eastAsia" w:ascii="仿宋" w:hAnsi="仿宋" w:eastAsia="仿宋" w:cs="仿宋"/>
                <w:sz w:val="24"/>
              </w:rPr>
            </w:pPr>
          </w:p>
        </w:tc>
      </w:tr>
      <w:tr w14:paraId="19B197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99" w:type="dxa"/>
            <w:tcBorders>
              <w:top w:val="single" w:color="auto" w:sz="4" w:space="0"/>
              <w:left w:val="single" w:color="auto" w:sz="4" w:space="0"/>
              <w:bottom w:val="single" w:color="auto" w:sz="4" w:space="0"/>
              <w:right w:val="single" w:color="auto" w:sz="4" w:space="0"/>
            </w:tcBorders>
            <w:noWrap w:val="0"/>
            <w:vAlign w:val="center"/>
          </w:tcPr>
          <w:p w14:paraId="738E276B">
            <w:pPr>
              <w:snapToGrid w:val="0"/>
              <w:spacing w:line="500" w:lineRule="exact"/>
              <w:jc w:val="center"/>
              <w:rPr>
                <w:rFonts w:hint="eastAsia" w:ascii="仿宋" w:hAnsi="仿宋" w:eastAsia="仿宋" w:cs="仿宋"/>
                <w:sz w:val="24"/>
              </w:rPr>
            </w:pPr>
            <w:r>
              <w:rPr>
                <w:rFonts w:hint="eastAsia" w:ascii="仿宋" w:hAnsi="仿宋" w:eastAsia="仿宋" w:cs="仿宋"/>
                <w:sz w:val="24"/>
              </w:rPr>
              <w:t>…</w:t>
            </w:r>
          </w:p>
        </w:tc>
        <w:tc>
          <w:tcPr>
            <w:tcW w:w="3592" w:type="dxa"/>
            <w:tcBorders>
              <w:top w:val="single" w:color="auto" w:sz="4" w:space="0"/>
              <w:left w:val="single" w:color="auto" w:sz="4" w:space="0"/>
              <w:bottom w:val="single" w:color="auto" w:sz="4" w:space="0"/>
              <w:right w:val="single" w:color="auto" w:sz="4" w:space="0"/>
            </w:tcBorders>
            <w:noWrap w:val="0"/>
            <w:vAlign w:val="center"/>
          </w:tcPr>
          <w:p w14:paraId="389B9CAA">
            <w:pPr>
              <w:snapToGrid w:val="0"/>
              <w:spacing w:line="500" w:lineRule="exact"/>
              <w:jc w:val="center"/>
              <w:rPr>
                <w:rFonts w:hint="eastAsia" w:ascii="仿宋" w:hAnsi="仿宋" w:eastAsia="仿宋" w:cs="仿宋"/>
                <w:sz w:val="24"/>
              </w:rPr>
            </w:pPr>
          </w:p>
        </w:tc>
        <w:tc>
          <w:tcPr>
            <w:tcW w:w="3419" w:type="dxa"/>
            <w:tcBorders>
              <w:top w:val="single" w:color="auto" w:sz="4" w:space="0"/>
              <w:left w:val="single" w:color="auto" w:sz="4" w:space="0"/>
              <w:bottom w:val="single" w:color="auto" w:sz="4" w:space="0"/>
              <w:right w:val="single" w:color="auto" w:sz="4" w:space="0"/>
            </w:tcBorders>
            <w:noWrap w:val="0"/>
            <w:vAlign w:val="center"/>
          </w:tcPr>
          <w:p w14:paraId="2498AF3C">
            <w:pPr>
              <w:snapToGrid w:val="0"/>
              <w:spacing w:line="500" w:lineRule="exact"/>
              <w:jc w:val="center"/>
              <w:rPr>
                <w:rFonts w:hint="eastAsia" w:ascii="仿宋" w:hAnsi="仿宋" w:eastAsia="仿宋" w:cs="仿宋"/>
                <w:sz w:val="24"/>
              </w:rPr>
            </w:pPr>
          </w:p>
        </w:tc>
      </w:tr>
    </w:tbl>
    <w:p w14:paraId="3E7B9164"/>
    <w:p w14:paraId="6D80CBC5">
      <w:pPr>
        <w:pStyle w:val="5"/>
      </w:pPr>
    </w:p>
    <w:p w14:paraId="7E38481A">
      <w:pPr>
        <w:ind w:firstLine="945" w:firstLineChars="450"/>
        <w:rPr>
          <w:rFonts w:hint="eastAsia"/>
        </w:rPr>
      </w:pPr>
      <w:r>
        <w:t>供应商名称（盖章）</w:t>
      </w:r>
      <w:r>
        <w:rPr>
          <w:rFonts w:hint="eastAsia" w:ascii="Arial" w:hAnsi="Arial" w:cs="Arial"/>
          <w:szCs w:val="21"/>
        </w:rPr>
        <w:t xml:space="preserve"> </w:t>
      </w:r>
      <w:r>
        <w:rPr>
          <w:rFonts w:hint="eastAsia"/>
        </w:rPr>
        <w:t xml:space="preserve"> ：                           年   月   日</w:t>
      </w:r>
    </w:p>
    <w:p w14:paraId="3FE0DA81">
      <w:pPr>
        <w:pStyle w:val="6"/>
        <w:snapToGrid w:val="0"/>
        <w:ind w:left="1260" w:hanging="420"/>
        <w:outlineLvl w:val="0"/>
        <w:rPr>
          <w:rFonts w:hint="eastAsia" w:ascii="仿宋" w:hAnsi="仿宋" w:eastAsia="仿宋" w:cs="仿宋"/>
          <w:bCs/>
          <w:sz w:val="44"/>
          <w:szCs w:val="44"/>
        </w:rPr>
      </w:pPr>
    </w:p>
    <w:p w14:paraId="516E2088">
      <w:pPr>
        <w:pStyle w:val="6"/>
        <w:snapToGrid w:val="0"/>
        <w:outlineLvl w:val="0"/>
      </w:pPr>
      <w:r>
        <w:rPr>
          <w:rFonts w:hint="eastAsia" w:ascii="仿宋" w:hAnsi="仿宋" w:eastAsia="仿宋" w:cs="仿宋"/>
          <w:bCs/>
          <w:sz w:val="44"/>
          <w:szCs w:val="44"/>
        </w:rPr>
        <w:br w:type="page"/>
      </w:r>
      <w:r>
        <w:rPr>
          <w:rFonts w:hAnsi="宋体"/>
        </w:rPr>
        <w:t>格式文件</w:t>
      </w:r>
    </w:p>
    <w:p w14:paraId="1953A4F1"/>
    <w:p w14:paraId="641FA2A1">
      <w:pPr>
        <w:tabs>
          <w:tab w:val="left" w:pos="3479"/>
        </w:tabs>
        <w:spacing w:line="520" w:lineRule="exact"/>
        <w:jc w:val="center"/>
        <w:rPr>
          <w:rFonts w:ascii="宋体" w:hAnsi="宋体" w:cs="宋体"/>
          <w:bCs/>
          <w:sz w:val="28"/>
          <w:szCs w:val="28"/>
        </w:rPr>
      </w:pPr>
      <w:r>
        <w:rPr>
          <w:rFonts w:hint="eastAsia" w:ascii="宋体" w:hAnsi="宋体" w:cs="宋体"/>
          <w:bCs/>
          <w:sz w:val="40"/>
          <w:szCs w:val="40"/>
        </w:rPr>
        <w:t>竞  标  报  价  表</w:t>
      </w:r>
    </w:p>
    <w:p w14:paraId="04EFBDF2">
      <w:pPr>
        <w:snapToGrid w:val="0"/>
        <w:spacing w:before="156" w:beforeLines="50"/>
        <w:jc w:val="center"/>
        <w:rPr>
          <w:rFonts w:ascii="Arial" w:hAnsi="Arial" w:cs="Arial"/>
          <w:szCs w:val="21"/>
        </w:rPr>
      </w:pPr>
      <w:r>
        <w:rPr>
          <w:rFonts w:hint="eastAsia" w:ascii="Arial" w:hAnsi="Arial" w:cs="Arial"/>
          <w:szCs w:val="21"/>
        </w:rPr>
        <w:t xml:space="preserve">                        </w:t>
      </w:r>
    </w:p>
    <w:p w14:paraId="51B0FF2C">
      <w:pPr>
        <w:snapToGrid w:val="0"/>
        <w:spacing w:before="156" w:beforeLines="50"/>
        <w:jc w:val="center"/>
        <w:rPr>
          <w:rFonts w:ascii="Arial" w:hAnsi="Arial" w:cs="Arial"/>
          <w:szCs w:val="21"/>
        </w:rPr>
      </w:pPr>
      <w:r>
        <w:rPr>
          <w:rFonts w:hint="eastAsia" w:ascii="Arial" w:hAnsi="Arial" w:cs="Arial"/>
          <w:szCs w:val="21"/>
        </w:rPr>
        <w:t xml:space="preserve">                   </w:t>
      </w:r>
    </w:p>
    <w:tbl>
      <w:tblPr>
        <w:tblStyle w:val="9"/>
        <w:tblW w:w="886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71"/>
        <w:gridCol w:w="1003"/>
        <w:gridCol w:w="947"/>
        <w:gridCol w:w="819"/>
        <w:gridCol w:w="1003"/>
        <w:gridCol w:w="1130"/>
        <w:gridCol w:w="1031"/>
        <w:gridCol w:w="734"/>
        <w:gridCol w:w="1625"/>
      </w:tblGrid>
      <w:tr w14:paraId="30FFB2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79" w:hRule="atLeast"/>
          <w:jc w:val="center"/>
        </w:trPr>
        <w:tc>
          <w:tcPr>
            <w:tcW w:w="571" w:type="dxa"/>
            <w:tcBorders>
              <w:top w:val="single" w:color="auto" w:sz="4" w:space="0"/>
              <w:left w:val="single" w:color="auto" w:sz="4" w:space="0"/>
              <w:bottom w:val="single" w:color="auto" w:sz="4" w:space="0"/>
              <w:right w:val="single" w:color="auto" w:sz="4" w:space="0"/>
            </w:tcBorders>
            <w:noWrap w:val="0"/>
            <w:vAlign w:val="center"/>
          </w:tcPr>
          <w:p w14:paraId="25BB07D3">
            <w:pPr>
              <w:snapToGrid w:val="0"/>
              <w:spacing w:before="156" w:beforeLines="50"/>
              <w:jc w:val="center"/>
              <w:rPr>
                <w:rFonts w:ascii="Arial" w:hAnsi="Arial" w:cs="Arial"/>
                <w:szCs w:val="21"/>
              </w:rPr>
            </w:pPr>
            <w:r>
              <w:rPr>
                <w:rFonts w:hint="eastAsia" w:ascii="Arial" w:hAnsi="Arial" w:cs="Arial"/>
                <w:szCs w:val="21"/>
              </w:rPr>
              <w:t>序号</w:t>
            </w:r>
          </w:p>
        </w:tc>
        <w:tc>
          <w:tcPr>
            <w:tcW w:w="1003" w:type="dxa"/>
            <w:tcBorders>
              <w:top w:val="single" w:color="auto" w:sz="4" w:space="0"/>
              <w:left w:val="single" w:color="auto" w:sz="4" w:space="0"/>
              <w:bottom w:val="single" w:color="auto" w:sz="4" w:space="0"/>
              <w:right w:val="single" w:color="auto" w:sz="4" w:space="0"/>
            </w:tcBorders>
            <w:noWrap w:val="0"/>
            <w:vAlign w:val="center"/>
          </w:tcPr>
          <w:p w14:paraId="24255CFD">
            <w:pPr>
              <w:snapToGrid w:val="0"/>
              <w:spacing w:before="156" w:beforeLines="50"/>
              <w:jc w:val="center"/>
              <w:rPr>
                <w:rFonts w:ascii="Arial" w:hAnsi="Arial" w:cs="Arial"/>
                <w:szCs w:val="21"/>
              </w:rPr>
            </w:pPr>
            <w:r>
              <w:rPr>
                <w:rFonts w:hint="eastAsia" w:ascii="Arial" w:hAnsi="Arial" w:cs="Arial"/>
                <w:szCs w:val="21"/>
              </w:rPr>
              <w:t>货物名称</w:t>
            </w:r>
          </w:p>
        </w:tc>
        <w:tc>
          <w:tcPr>
            <w:tcW w:w="947" w:type="dxa"/>
            <w:tcBorders>
              <w:top w:val="single" w:color="auto" w:sz="4" w:space="0"/>
              <w:left w:val="single" w:color="auto" w:sz="4" w:space="0"/>
              <w:bottom w:val="single" w:color="auto" w:sz="4" w:space="0"/>
              <w:right w:val="single" w:color="auto" w:sz="4" w:space="0"/>
            </w:tcBorders>
            <w:noWrap w:val="0"/>
            <w:vAlign w:val="center"/>
          </w:tcPr>
          <w:p w14:paraId="598F7AAE">
            <w:pPr>
              <w:snapToGrid w:val="0"/>
              <w:spacing w:before="156" w:beforeLines="50"/>
              <w:jc w:val="center"/>
              <w:rPr>
                <w:rFonts w:ascii="Arial" w:hAnsi="Arial" w:cs="Arial"/>
                <w:szCs w:val="21"/>
              </w:rPr>
            </w:pPr>
            <w:r>
              <w:rPr>
                <w:rFonts w:hint="eastAsia" w:ascii="Arial" w:hAnsi="Arial" w:cs="Arial"/>
                <w:szCs w:val="21"/>
              </w:rPr>
              <w:t>数量及单位</w:t>
            </w:r>
          </w:p>
          <w:p w14:paraId="36ED3235">
            <w:pPr>
              <w:snapToGrid w:val="0"/>
              <w:spacing w:before="156" w:beforeLines="50"/>
              <w:jc w:val="center"/>
              <w:rPr>
                <w:rFonts w:ascii="Arial" w:hAnsi="Arial" w:cs="Arial"/>
                <w:szCs w:val="21"/>
              </w:rPr>
            </w:pPr>
            <w:r>
              <w:rPr>
                <w:rFonts w:hint="eastAsia" w:ascii="Arial" w:hAnsi="Arial" w:cs="Arial"/>
                <w:szCs w:val="21"/>
              </w:rPr>
              <w:t>①</w:t>
            </w:r>
          </w:p>
        </w:tc>
        <w:tc>
          <w:tcPr>
            <w:tcW w:w="819" w:type="dxa"/>
            <w:tcBorders>
              <w:top w:val="single" w:color="auto" w:sz="4" w:space="0"/>
              <w:left w:val="single" w:color="auto" w:sz="4" w:space="0"/>
              <w:bottom w:val="single" w:color="auto" w:sz="4" w:space="0"/>
              <w:right w:val="single" w:color="auto" w:sz="4" w:space="0"/>
            </w:tcBorders>
            <w:noWrap w:val="0"/>
            <w:vAlign w:val="center"/>
          </w:tcPr>
          <w:p w14:paraId="5C55240D">
            <w:pPr>
              <w:snapToGrid w:val="0"/>
              <w:spacing w:before="156" w:beforeLines="50"/>
              <w:jc w:val="center"/>
              <w:rPr>
                <w:rFonts w:ascii="Arial" w:hAnsi="Arial" w:cs="Arial"/>
                <w:szCs w:val="21"/>
              </w:rPr>
            </w:pPr>
            <w:r>
              <w:rPr>
                <w:rFonts w:hint="eastAsia" w:ascii="Arial" w:hAnsi="Arial" w:cs="Arial"/>
                <w:szCs w:val="21"/>
              </w:rPr>
              <w:t>品牌</w:t>
            </w:r>
          </w:p>
        </w:tc>
        <w:tc>
          <w:tcPr>
            <w:tcW w:w="1003" w:type="dxa"/>
            <w:tcBorders>
              <w:top w:val="single" w:color="auto" w:sz="4" w:space="0"/>
              <w:left w:val="single" w:color="auto" w:sz="4" w:space="0"/>
              <w:bottom w:val="single" w:color="auto" w:sz="4" w:space="0"/>
              <w:right w:val="single" w:color="auto" w:sz="4" w:space="0"/>
            </w:tcBorders>
            <w:noWrap w:val="0"/>
            <w:vAlign w:val="center"/>
          </w:tcPr>
          <w:p w14:paraId="3484D260">
            <w:pPr>
              <w:snapToGrid w:val="0"/>
              <w:spacing w:before="156" w:beforeLines="50"/>
              <w:jc w:val="center"/>
              <w:rPr>
                <w:rFonts w:ascii="Arial" w:hAnsi="Arial" w:cs="Arial"/>
                <w:szCs w:val="21"/>
              </w:rPr>
            </w:pPr>
            <w:r>
              <w:rPr>
                <w:rFonts w:hint="eastAsia" w:ascii="Arial" w:hAnsi="Arial" w:cs="Arial"/>
                <w:szCs w:val="21"/>
              </w:rPr>
              <w:t>规格</w:t>
            </w:r>
          </w:p>
          <w:p w14:paraId="28AE4A3F">
            <w:pPr>
              <w:snapToGrid w:val="0"/>
              <w:spacing w:before="156" w:beforeLines="50"/>
              <w:jc w:val="center"/>
              <w:rPr>
                <w:rFonts w:ascii="Arial" w:hAnsi="Arial" w:cs="Arial"/>
                <w:szCs w:val="21"/>
              </w:rPr>
            </w:pPr>
            <w:r>
              <w:rPr>
                <w:rFonts w:hint="eastAsia" w:ascii="Arial" w:hAnsi="Arial" w:cs="Arial"/>
                <w:szCs w:val="21"/>
              </w:rPr>
              <w:t>型号</w:t>
            </w:r>
          </w:p>
        </w:tc>
        <w:tc>
          <w:tcPr>
            <w:tcW w:w="1130" w:type="dxa"/>
            <w:tcBorders>
              <w:top w:val="single" w:color="auto" w:sz="4" w:space="0"/>
              <w:left w:val="single" w:color="auto" w:sz="4" w:space="0"/>
              <w:bottom w:val="single" w:color="auto" w:sz="4" w:space="0"/>
              <w:right w:val="single" w:color="auto" w:sz="4" w:space="0"/>
            </w:tcBorders>
            <w:noWrap w:val="0"/>
            <w:vAlign w:val="center"/>
          </w:tcPr>
          <w:p w14:paraId="7E97A124">
            <w:pPr>
              <w:snapToGrid w:val="0"/>
              <w:spacing w:before="156" w:beforeLines="50"/>
              <w:jc w:val="center"/>
              <w:rPr>
                <w:rFonts w:ascii="Arial" w:hAnsi="Arial" w:cs="Arial"/>
                <w:szCs w:val="21"/>
              </w:rPr>
            </w:pPr>
            <w:r>
              <w:rPr>
                <w:rFonts w:hint="eastAsia" w:ascii="Arial" w:hAnsi="Arial" w:cs="Arial"/>
                <w:szCs w:val="21"/>
              </w:rPr>
              <w:t>制造商</w:t>
            </w:r>
          </w:p>
        </w:tc>
        <w:tc>
          <w:tcPr>
            <w:tcW w:w="1031" w:type="dxa"/>
            <w:tcBorders>
              <w:top w:val="single" w:color="auto" w:sz="4" w:space="0"/>
              <w:left w:val="single" w:color="auto" w:sz="4" w:space="0"/>
              <w:bottom w:val="single" w:color="auto" w:sz="4" w:space="0"/>
              <w:right w:val="single" w:color="auto" w:sz="4" w:space="0"/>
            </w:tcBorders>
            <w:noWrap w:val="0"/>
            <w:vAlign w:val="center"/>
          </w:tcPr>
          <w:p w14:paraId="67AE2BAB">
            <w:pPr>
              <w:snapToGrid w:val="0"/>
              <w:spacing w:before="156" w:beforeLines="50"/>
              <w:jc w:val="center"/>
              <w:rPr>
                <w:rFonts w:ascii="Arial" w:hAnsi="Arial" w:cs="Arial"/>
                <w:szCs w:val="21"/>
              </w:rPr>
            </w:pPr>
            <w:r>
              <w:rPr>
                <w:rFonts w:hint="eastAsia" w:ascii="Arial" w:hAnsi="Arial" w:cs="Arial"/>
                <w:szCs w:val="21"/>
              </w:rPr>
              <w:t>原产地</w:t>
            </w:r>
          </w:p>
        </w:tc>
        <w:tc>
          <w:tcPr>
            <w:tcW w:w="734" w:type="dxa"/>
            <w:tcBorders>
              <w:top w:val="single" w:color="auto" w:sz="4" w:space="0"/>
              <w:left w:val="single" w:color="auto" w:sz="4" w:space="0"/>
              <w:bottom w:val="single" w:color="auto" w:sz="4" w:space="0"/>
              <w:right w:val="single" w:color="auto" w:sz="4" w:space="0"/>
            </w:tcBorders>
            <w:noWrap w:val="0"/>
            <w:vAlign w:val="center"/>
          </w:tcPr>
          <w:p w14:paraId="664387F2">
            <w:pPr>
              <w:snapToGrid w:val="0"/>
              <w:spacing w:before="156" w:beforeLines="50"/>
              <w:jc w:val="center"/>
              <w:rPr>
                <w:rFonts w:ascii="Arial" w:hAnsi="Arial" w:cs="Arial"/>
                <w:szCs w:val="21"/>
              </w:rPr>
            </w:pPr>
            <w:r>
              <w:rPr>
                <w:rFonts w:hint="eastAsia" w:ascii="Arial" w:hAnsi="Arial" w:cs="Arial"/>
                <w:szCs w:val="21"/>
              </w:rPr>
              <w:t>单价</w:t>
            </w:r>
          </w:p>
          <w:p w14:paraId="31E3BE7A">
            <w:pPr>
              <w:snapToGrid w:val="0"/>
              <w:spacing w:before="156" w:beforeLines="50"/>
              <w:jc w:val="center"/>
              <w:rPr>
                <w:rFonts w:ascii="Arial" w:hAnsi="Arial" w:cs="Arial"/>
                <w:szCs w:val="21"/>
              </w:rPr>
            </w:pPr>
            <w:r>
              <w:rPr>
                <w:rFonts w:hint="eastAsia" w:ascii="Arial" w:hAnsi="Arial" w:cs="Arial"/>
                <w:szCs w:val="21"/>
              </w:rPr>
              <w:t>②</w:t>
            </w:r>
          </w:p>
        </w:tc>
        <w:tc>
          <w:tcPr>
            <w:tcW w:w="1625" w:type="dxa"/>
            <w:tcBorders>
              <w:top w:val="single" w:color="auto" w:sz="4" w:space="0"/>
              <w:left w:val="single" w:color="auto" w:sz="4" w:space="0"/>
              <w:bottom w:val="single" w:color="auto" w:sz="4" w:space="0"/>
              <w:right w:val="single" w:color="auto" w:sz="4" w:space="0"/>
            </w:tcBorders>
            <w:noWrap w:val="0"/>
            <w:vAlign w:val="center"/>
          </w:tcPr>
          <w:p w14:paraId="6EBE51FA">
            <w:pPr>
              <w:snapToGrid w:val="0"/>
              <w:spacing w:before="156" w:beforeLines="50"/>
              <w:jc w:val="center"/>
              <w:rPr>
                <w:rFonts w:ascii="Arial" w:hAnsi="Arial" w:cs="Arial"/>
                <w:szCs w:val="21"/>
              </w:rPr>
            </w:pPr>
            <w:r>
              <w:rPr>
                <w:rFonts w:hint="eastAsia" w:ascii="Arial" w:hAnsi="Arial" w:cs="Arial"/>
                <w:szCs w:val="21"/>
              </w:rPr>
              <w:t>竞标报价</w:t>
            </w:r>
          </w:p>
          <w:p w14:paraId="4D07A1B2">
            <w:pPr>
              <w:snapToGrid w:val="0"/>
              <w:spacing w:before="156" w:beforeLines="50"/>
              <w:jc w:val="center"/>
              <w:rPr>
                <w:rFonts w:ascii="Arial" w:hAnsi="Arial" w:cs="Arial"/>
                <w:szCs w:val="21"/>
              </w:rPr>
            </w:pPr>
            <w:r>
              <w:rPr>
                <w:rFonts w:hint="eastAsia" w:ascii="Arial" w:hAnsi="Arial" w:cs="Arial"/>
                <w:szCs w:val="21"/>
              </w:rPr>
              <w:t>③=①×②</w:t>
            </w:r>
          </w:p>
        </w:tc>
      </w:tr>
      <w:tr w14:paraId="2EA574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9" w:hRule="atLeast"/>
          <w:jc w:val="center"/>
        </w:trPr>
        <w:tc>
          <w:tcPr>
            <w:tcW w:w="571" w:type="dxa"/>
            <w:tcBorders>
              <w:top w:val="single" w:color="auto" w:sz="4" w:space="0"/>
              <w:left w:val="single" w:color="auto" w:sz="4" w:space="0"/>
              <w:bottom w:val="single" w:color="auto" w:sz="4" w:space="0"/>
              <w:right w:val="single" w:color="auto" w:sz="4" w:space="0"/>
            </w:tcBorders>
            <w:noWrap w:val="0"/>
            <w:vAlign w:val="center"/>
          </w:tcPr>
          <w:p w14:paraId="36837F12">
            <w:pPr>
              <w:snapToGrid w:val="0"/>
              <w:spacing w:before="156" w:beforeLines="50"/>
              <w:jc w:val="center"/>
              <w:rPr>
                <w:rFonts w:ascii="Arial" w:hAnsi="Arial" w:cs="Arial"/>
                <w:szCs w:val="21"/>
              </w:rPr>
            </w:pPr>
            <w:r>
              <w:rPr>
                <w:rFonts w:hint="eastAsia" w:ascii="Arial" w:hAnsi="Arial" w:cs="Arial"/>
                <w:szCs w:val="21"/>
              </w:rPr>
              <w:t>1</w:t>
            </w:r>
          </w:p>
        </w:tc>
        <w:tc>
          <w:tcPr>
            <w:tcW w:w="1003" w:type="dxa"/>
            <w:tcBorders>
              <w:top w:val="single" w:color="auto" w:sz="4" w:space="0"/>
              <w:left w:val="single" w:color="auto" w:sz="4" w:space="0"/>
              <w:bottom w:val="single" w:color="auto" w:sz="4" w:space="0"/>
              <w:right w:val="single" w:color="auto" w:sz="4" w:space="0"/>
            </w:tcBorders>
            <w:noWrap w:val="0"/>
            <w:vAlign w:val="center"/>
          </w:tcPr>
          <w:p w14:paraId="3EDC6463">
            <w:pPr>
              <w:snapToGrid w:val="0"/>
              <w:spacing w:before="156" w:beforeLines="50"/>
              <w:jc w:val="center"/>
              <w:rPr>
                <w:rFonts w:ascii="Arial" w:hAnsi="Arial" w:cs="Arial"/>
                <w:szCs w:val="21"/>
              </w:rPr>
            </w:pPr>
          </w:p>
        </w:tc>
        <w:tc>
          <w:tcPr>
            <w:tcW w:w="947" w:type="dxa"/>
            <w:tcBorders>
              <w:top w:val="single" w:color="auto" w:sz="4" w:space="0"/>
              <w:left w:val="single" w:color="auto" w:sz="4" w:space="0"/>
              <w:bottom w:val="single" w:color="auto" w:sz="4" w:space="0"/>
              <w:right w:val="single" w:color="auto" w:sz="4" w:space="0"/>
            </w:tcBorders>
            <w:noWrap w:val="0"/>
            <w:vAlign w:val="center"/>
          </w:tcPr>
          <w:p w14:paraId="564630AC">
            <w:pPr>
              <w:snapToGrid w:val="0"/>
              <w:spacing w:before="156" w:beforeLines="50"/>
              <w:jc w:val="center"/>
              <w:rPr>
                <w:rFonts w:ascii="Arial" w:hAnsi="Arial" w:cs="Arial"/>
                <w:szCs w:val="21"/>
              </w:rPr>
            </w:pPr>
          </w:p>
        </w:tc>
        <w:tc>
          <w:tcPr>
            <w:tcW w:w="819" w:type="dxa"/>
            <w:tcBorders>
              <w:top w:val="single" w:color="auto" w:sz="4" w:space="0"/>
              <w:left w:val="single" w:color="auto" w:sz="4" w:space="0"/>
              <w:bottom w:val="single" w:color="auto" w:sz="4" w:space="0"/>
              <w:right w:val="single" w:color="auto" w:sz="4" w:space="0"/>
            </w:tcBorders>
            <w:noWrap w:val="0"/>
            <w:vAlign w:val="center"/>
          </w:tcPr>
          <w:p w14:paraId="41F0380D">
            <w:pPr>
              <w:snapToGrid w:val="0"/>
              <w:spacing w:before="156" w:beforeLines="50"/>
              <w:jc w:val="center"/>
              <w:rPr>
                <w:rFonts w:ascii="Arial" w:hAnsi="Arial" w:cs="Arial"/>
                <w:szCs w:val="21"/>
              </w:rPr>
            </w:pPr>
          </w:p>
        </w:tc>
        <w:tc>
          <w:tcPr>
            <w:tcW w:w="1003" w:type="dxa"/>
            <w:tcBorders>
              <w:top w:val="single" w:color="auto" w:sz="4" w:space="0"/>
              <w:left w:val="single" w:color="auto" w:sz="4" w:space="0"/>
              <w:bottom w:val="single" w:color="auto" w:sz="4" w:space="0"/>
              <w:right w:val="single" w:color="auto" w:sz="4" w:space="0"/>
            </w:tcBorders>
            <w:noWrap w:val="0"/>
            <w:vAlign w:val="center"/>
          </w:tcPr>
          <w:p w14:paraId="76E459D8">
            <w:pPr>
              <w:snapToGrid w:val="0"/>
              <w:spacing w:before="156" w:beforeLines="50"/>
              <w:jc w:val="center"/>
              <w:rPr>
                <w:rFonts w:ascii="Arial" w:hAnsi="Arial" w:cs="Arial"/>
                <w:szCs w:val="21"/>
              </w:rPr>
            </w:pPr>
          </w:p>
        </w:tc>
        <w:tc>
          <w:tcPr>
            <w:tcW w:w="1130" w:type="dxa"/>
            <w:tcBorders>
              <w:top w:val="single" w:color="auto" w:sz="4" w:space="0"/>
              <w:left w:val="single" w:color="auto" w:sz="4" w:space="0"/>
              <w:bottom w:val="single" w:color="auto" w:sz="4" w:space="0"/>
              <w:right w:val="single" w:color="auto" w:sz="4" w:space="0"/>
            </w:tcBorders>
            <w:noWrap w:val="0"/>
            <w:vAlign w:val="center"/>
          </w:tcPr>
          <w:p w14:paraId="70941B39">
            <w:pPr>
              <w:snapToGrid w:val="0"/>
              <w:spacing w:before="156" w:beforeLines="50"/>
              <w:jc w:val="center"/>
              <w:rPr>
                <w:rFonts w:ascii="Arial" w:hAnsi="Arial" w:cs="Arial"/>
                <w:szCs w:val="21"/>
              </w:rPr>
            </w:pPr>
          </w:p>
        </w:tc>
        <w:tc>
          <w:tcPr>
            <w:tcW w:w="1031" w:type="dxa"/>
            <w:tcBorders>
              <w:top w:val="single" w:color="auto" w:sz="4" w:space="0"/>
              <w:left w:val="single" w:color="auto" w:sz="4" w:space="0"/>
              <w:bottom w:val="single" w:color="auto" w:sz="4" w:space="0"/>
              <w:right w:val="single" w:color="auto" w:sz="4" w:space="0"/>
            </w:tcBorders>
            <w:noWrap w:val="0"/>
            <w:vAlign w:val="top"/>
          </w:tcPr>
          <w:p w14:paraId="6CD79802">
            <w:pPr>
              <w:snapToGrid w:val="0"/>
              <w:spacing w:before="156" w:beforeLines="50"/>
              <w:jc w:val="center"/>
              <w:rPr>
                <w:rFonts w:ascii="Arial" w:hAnsi="Arial" w:cs="Arial"/>
                <w:szCs w:val="21"/>
              </w:rPr>
            </w:pPr>
          </w:p>
        </w:tc>
        <w:tc>
          <w:tcPr>
            <w:tcW w:w="734" w:type="dxa"/>
            <w:tcBorders>
              <w:top w:val="single" w:color="auto" w:sz="4" w:space="0"/>
              <w:left w:val="single" w:color="auto" w:sz="4" w:space="0"/>
              <w:bottom w:val="single" w:color="auto" w:sz="4" w:space="0"/>
              <w:right w:val="single" w:color="auto" w:sz="4" w:space="0"/>
            </w:tcBorders>
            <w:noWrap w:val="0"/>
            <w:vAlign w:val="center"/>
          </w:tcPr>
          <w:p w14:paraId="4C22DA07">
            <w:pPr>
              <w:snapToGrid w:val="0"/>
              <w:spacing w:before="156" w:beforeLines="50"/>
              <w:jc w:val="center"/>
              <w:rPr>
                <w:rFonts w:ascii="Arial" w:hAnsi="Arial" w:cs="Arial"/>
                <w:szCs w:val="21"/>
              </w:rPr>
            </w:pPr>
          </w:p>
        </w:tc>
        <w:tc>
          <w:tcPr>
            <w:tcW w:w="1625" w:type="dxa"/>
            <w:tcBorders>
              <w:top w:val="single" w:color="auto" w:sz="4" w:space="0"/>
              <w:left w:val="single" w:color="auto" w:sz="4" w:space="0"/>
              <w:bottom w:val="single" w:color="auto" w:sz="4" w:space="0"/>
              <w:right w:val="single" w:color="auto" w:sz="4" w:space="0"/>
            </w:tcBorders>
            <w:noWrap w:val="0"/>
            <w:vAlign w:val="center"/>
          </w:tcPr>
          <w:p w14:paraId="5F5526B5">
            <w:pPr>
              <w:snapToGrid w:val="0"/>
              <w:spacing w:before="156" w:beforeLines="50"/>
              <w:jc w:val="center"/>
              <w:rPr>
                <w:rFonts w:ascii="Arial" w:hAnsi="Arial" w:cs="Arial"/>
                <w:szCs w:val="21"/>
              </w:rPr>
            </w:pPr>
          </w:p>
        </w:tc>
      </w:tr>
      <w:tr w14:paraId="6E0F6D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9" w:hRule="atLeast"/>
          <w:jc w:val="center"/>
        </w:trPr>
        <w:tc>
          <w:tcPr>
            <w:tcW w:w="571" w:type="dxa"/>
            <w:tcBorders>
              <w:top w:val="single" w:color="auto" w:sz="4" w:space="0"/>
              <w:left w:val="single" w:color="auto" w:sz="4" w:space="0"/>
              <w:bottom w:val="single" w:color="auto" w:sz="4" w:space="0"/>
              <w:right w:val="single" w:color="auto" w:sz="4" w:space="0"/>
            </w:tcBorders>
            <w:noWrap w:val="0"/>
            <w:vAlign w:val="center"/>
          </w:tcPr>
          <w:p w14:paraId="683781EC">
            <w:pPr>
              <w:snapToGrid w:val="0"/>
              <w:spacing w:before="156" w:beforeLines="50"/>
              <w:jc w:val="center"/>
              <w:rPr>
                <w:rFonts w:ascii="Arial" w:hAnsi="Arial" w:cs="Arial"/>
                <w:szCs w:val="21"/>
              </w:rPr>
            </w:pPr>
            <w:r>
              <w:rPr>
                <w:rFonts w:hint="eastAsia" w:ascii="Arial" w:hAnsi="Arial" w:cs="Arial"/>
                <w:szCs w:val="21"/>
              </w:rPr>
              <w:t>2</w:t>
            </w:r>
          </w:p>
        </w:tc>
        <w:tc>
          <w:tcPr>
            <w:tcW w:w="1003" w:type="dxa"/>
            <w:tcBorders>
              <w:top w:val="single" w:color="auto" w:sz="4" w:space="0"/>
              <w:left w:val="single" w:color="auto" w:sz="4" w:space="0"/>
              <w:bottom w:val="single" w:color="auto" w:sz="4" w:space="0"/>
              <w:right w:val="single" w:color="auto" w:sz="4" w:space="0"/>
            </w:tcBorders>
            <w:noWrap w:val="0"/>
            <w:vAlign w:val="center"/>
          </w:tcPr>
          <w:p w14:paraId="43F9AE9F">
            <w:pPr>
              <w:snapToGrid w:val="0"/>
              <w:spacing w:before="156" w:beforeLines="50"/>
              <w:jc w:val="center"/>
              <w:rPr>
                <w:rFonts w:ascii="Arial" w:hAnsi="Arial" w:cs="Arial"/>
                <w:szCs w:val="21"/>
              </w:rPr>
            </w:pPr>
          </w:p>
        </w:tc>
        <w:tc>
          <w:tcPr>
            <w:tcW w:w="947" w:type="dxa"/>
            <w:tcBorders>
              <w:top w:val="single" w:color="auto" w:sz="4" w:space="0"/>
              <w:left w:val="single" w:color="auto" w:sz="4" w:space="0"/>
              <w:bottom w:val="single" w:color="auto" w:sz="4" w:space="0"/>
              <w:right w:val="single" w:color="auto" w:sz="4" w:space="0"/>
            </w:tcBorders>
            <w:noWrap w:val="0"/>
            <w:vAlign w:val="center"/>
          </w:tcPr>
          <w:p w14:paraId="6475A19F">
            <w:pPr>
              <w:snapToGrid w:val="0"/>
              <w:spacing w:before="156" w:beforeLines="50"/>
              <w:jc w:val="center"/>
              <w:rPr>
                <w:rFonts w:ascii="Arial" w:hAnsi="Arial" w:cs="Arial"/>
                <w:szCs w:val="21"/>
              </w:rPr>
            </w:pPr>
          </w:p>
        </w:tc>
        <w:tc>
          <w:tcPr>
            <w:tcW w:w="819" w:type="dxa"/>
            <w:tcBorders>
              <w:top w:val="single" w:color="auto" w:sz="4" w:space="0"/>
              <w:left w:val="single" w:color="auto" w:sz="4" w:space="0"/>
              <w:bottom w:val="single" w:color="auto" w:sz="4" w:space="0"/>
              <w:right w:val="single" w:color="auto" w:sz="4" w:space="0"/>
            </w:tcBorders>
            <w:noWrap w:val="0"/>
            <w:vAlign w:val="center"/>
          </w:tcPr>
          <w:p w14:paraId="541B29E0">
            <w:pPr>
              <w:snapToGrid w:val="0"/>
              <w:spacing w:before="156" w:beforeLines="50"/>
              <w:jc w:val="center"/>
              <w:rPr>
                <w:rFonts w:ascii="Arial" w:hAnsi="Arial" w:cs="Arial"/>
                <w:szCs w:val="21"/>
              </w:rPr>
            </w:pPr>
          </w:p>
        </w:tc>
        <w:tc>
          <w:tcPr>
            <w:tcW w:w="1003" w:type="dxa"/>
            <w:tcBorders>
              <w:top w:val="single" w:color="auto" w:sz="4" w:space="0"/>
              <w:left w:val="single" w:color="auto" w:sz="4" w:space="0"/>
              <w:bottom w:val="single" w:color="auto" w:sz="4" w:space="0"/>
              <w:right w:val="single" w:color="auto" w:sz="4" w:space="0"/>
            </w:tcBorders>
            <w:noWrap w:val="0"/>
            <w:vAlign w:val="center"/>
          </w:tcPr>
          <w:p w14:paraId="0834EFBF">
            <w:pPr>
              <w:snapToGrid w:val="0"/>
              <w:spacing w:before="156" w:beforeLines="50"/>
              <w:jc w:val="center"/>
              <w:rPr>
                <w:rFonts w:ascii="Arial" w:hAnsi="Arial" w:cs="Arial"/>
                <w:szCs w:val="21"/>
              </w:rPr>
            </w:pPr>
          </w:p>
        </w:tc>
        <w:tc>
          <w:tcPr>
            <w:tcW w:w="1130" w:type="dxa"/>
            <w:tcBorders>
              <w:top w:val="single" w:color="auto" w:sz="4" w:space="0"/>
              <w:left w:val="single" w:color="auto" w:sz="4" w:space="0"/>
              <w:bottom w:val="single" w:color="auto" w:sz="4" w:space="0"/>
              <w:right w:val="single" w:color="auto" w:sz="4" w:space="0"/>
            </w:tcBorders>
            <w:noWrap w:val="0"/>
            <w:vAlign w:val="center"/>
          </w:tcPr>
          <w:p w14:paraId="066BB0CB">
            <w:pPr>
              <w:snapToGrid w:val="0"/>
              <w:spacing w:before="156" w:beforeLines="50"/>
              <w:jc w:val="center"/>
              <w:rPr>
                <w:rFonts w:ascii="Arial" w:hAnsi="Arial" w:cs="Arial"/>
                <w:szCs w:val="21"/>
              </w:rPr>
            </w:pPr>
          </w:p>
        </w:tc>
        <w:tc>
          <w:tcPr>
            <w:tcW w:w="1031" w:type="dxa"/>
            <w:tcBorders>
              <w:top w:val="single" w:color="auto" w:sz="4" w:space="0"/>
              <w:left w:val="single" w:color="auto" w:sz="4" w:space="0"/>
              <w:bottom w:val="single" w:color="auto" w:sz="4" w:space="0"/>
              <w:right w:val="single" w:color="auto" w:sz="4" w:space="0"/>
            </w:tcBorders>
            <w:noWrap w:val="0"/>
            <w:vAlign w:val="top"/>
          </w:tcPr>
          <w:p w14:paraId="53741C25">
            <w:pPr>
              <w:snapToGrid w:val="0"/>
              <w:spacing w:before="156" w:beforeLines="50"/>
              <w:jc w:val="center"/>
              <w:rPr>
                <w:rFonts w:ascii="Arial" w:hAnsi="Arial" w:cs="Arial"/>
                <w:szCs w:val="21"/>
              </w:rPr>
            </w:pPr>
          </w:p>
        </w:tc>
        <w:tc>
          <w:tcPr>
            <w:tcW w:w="734" w:type="dxa"/>
            <w:tcBorders>
              <w:top w:val="single" w:color="auto" w:sz="4" w:space="0"/>
              <w:left w:val="single" w:color="auto" w:sz="4" w:space="0"/>
              <w:bottom w:val="single" w:color="auto" w:sz="4" w:space="0"/>
              <w:right w:val="single" w:color="auto" w:sz="4" w:space="0"/>
            </w:tcBorders>
            <w:noWrap w:val="0"/>
            <w:vAlign w:val="center"/>
          </w:tcPr>
          <w:p w14:paraId="3DEF0E6F">
            <w:pPr>
              <w:snapToGrid w:val="0"/>
              <w:spacing w:before="156" w:beforeLines="50"/>
              <w:jc w:val="center"/>
              <w:rPr>
                <w:rFonts w:ascii="Arial" w:hAnsi="Arial" w:cs="Arial"/>
                <w:szCs w:val="21"/>
              </w:rPr>
            </w:pPr>
          </w:p>
        </w:tc>
        <w:tc>
          <w:tcPr>
            <w:tcW w:w="1625" w:type="dxa"/>
            <w:tcBorders>
              <w:top w:val="single" w:color="auto" w:sz="4" w:space="0"/>
              <w:left w:val="single" w:color="auto" w:sz="4" w:space="0"/>
              <w:bottom w:val="single" w:color="auto" w:sz="4" w:space="0"/>
              <w:right w:val="single" w:color="auto" w:sz="4" w:space="0"/>
            </w:tcBorders>
            <w:noWrap w:val="0"/>
            <w:vAlign w:val="center"/>
          </w:tcPr>
          <w:p w14:paraId="661932F0">
            <w:pPr>
              <w:snapToGrid w:val="0"/>
              <w:spacing w:before="156" w:beforeLines="50"/>
              <w:jc w:val="center"/>
              <w:rPr>
                <w:rFonts w:ascii="Arial" w:hAnsi="Arial" w:cs="Arial"/>
                <w:szCs w:val="21"/>
              </w:rPr>
            </w:pPr>
          </w:p>
        </w:tc>
      </w:tr>
      <w:tr w14:paraId="13DDC9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9" w:hRule="atLeast"/>
          <w:jc w:val="center"/>
        </w:trPr>
        <w:tc>
          <w:tcPr>
            <w:tcW w:w="571" w:type="dxa"/>
            <w:tcBorders>
              <w:top w:val="single" w:color="auto" w:sz="4" w:space="0"/>
              <w:left w:val="single" w:color="auto" w:sz="4" w:space="0"/>
              <w:bottom w:val="single" w:color="auto" w:sz="4" w:space="0"/>
              <w:right w:val="single" w:color="auto" w:sz="4" w:space="0"/>
            </w:tcBorders>
            <w:noWrap w:val="0"/>
            <w:vAlign w:val="center"/>
          </w:tcPr>
          <w:p w14:paraId="4C573A3F">
            <w:pPr>
              <w:snapToGrid w:val="0"/>
              <w:spacing w:before="156" w:beforeLines="50"/>
              <w:jc w:val="center"/>
              <w:rPr>
                <w:rFonts w:ascii="Arial" w:hAnsi="Arial" w:cs="Arial"/>
                <w:szCs w:val="21"/>
              </w:rPr>
            </w:pPr>
            <w:r>
              <w:rPr>
                <w:rFonts w:hint="eastAsia" w:ascii="Arial" w:hAnsi="Arial" w:cs="Arial"/>
                <w:szCs w:val="21"/>
              </w:rPr>
              <w:t>…</w:t>
            </w:r>
          </w:p>
        </w:tc>
        <w:tc>
          <w:tcPr>
            <w:tcW w:w="1003" w:type="dxa"/>
            <w:tcBorders>
              <w:top w:val="single" w:color="auto" w:sz="4" w:space="0"/>
              <w:left w:val="single" w:color="auto" w:sz="4" w:space="0"/>
              <w:bottom w:val="single" w:color="auto" w:sz="4" w:space="0"/>
              <w:right w:val="single" w:color="auto" w:sz="4" w:space="0"/>
            </w:tcBorders>
            <w:noWrap w:val="0"/>
            <w:vAlign w:val="center"/>
          </w:tcPr>
          <w:p w14:paraId="4634C5B7">
            <w:pPr>
              <w:snapToGrid w:val="0"/>
              <w:spacing w:before="156" w:beforeLines="50"/>
              <w:jc w:val="center"/>
              <w:rPr>
                <w:rFonts w:ascii="Arial" w:hAnsi="Arial" w:cs="Arial"/>
                <w:szCs w:val="21"/>
              </w:rPr>
            </w:pPr>
            <w:r>
              <w:rPr>
                <w:rFonts w:hint="eastAsia" w:ascii="Arial" w:hAnsi="Arial" w:cs="Arial"/>
                <w:szCs w:val="21"/>
              </w:rPr>
              <w:t>……</w:t>
            </w:r>
          </w:p>
        </w:tc>
        <w:tc>
          <w:tcPr>
            <w:tcW w:w="947" w:type="dxa"/>
            <w:tcBorders>
              <w:top w:val="single" w:color="auto" w:sz="4" w:space="0"/>
              <w:left w:val="single" w:color="auto" w:sz="4" w:space="0"/>
              <w:bottom w:val="single" w:color="auto" w:sz="4" w:space="0"/>
              <w:right w:val="single" w:color="auto" w:sz="4" w:space="0"/>
            </w:tcBorders>
            <w:noWrap w:val="0"/>
            <w:vAlign w:val="center"/>
          </w:tcPr>
          <w:p w14:paraId="08EC9D97">
            <w:pPr>
              <w:snapToGrid w:val="0"/>
              <w:spacing w:before="156" w:beforeLines="50"/>
              <w:jc w:val="center"/>
              <w:rPr>
                <w:rFonts w:ascii="Arial" w:hAnsi="Arial" w:cs="Arial"/>
                <w:szCs w:val="21"/>
              </w:rPr>
            </w:pPr>
          </w:p>
        </w:tc>
        <w:tc>
          <w:tcPr>
            <w:tcW w:w="819" w:type="dxa"/>
            <w:tcBorders>
              <w:top w:val="single" w:color="auto" w:sz="4" w:space="0"/>
              <w:left w:val="single" w:color="auto" w:sz="4" w:space="0"/>
              <w:bottom w:val="single" w:color="auto" w:sz="4" w:space="0"/>
              <w:right w:val="single" w:color="auto" w:sz="4" w:space="0"/>
            </w:tcBorders>
            <w:noWrap w:val="0"/>
            <w:vAlign w:val="center"/>
          </w:tcPr>
          <w:p w14:paraId="2D210B44">
            <w:pPr>
              <w:snapToGrid w:val="0"/>
              <w:spacing w:before="156" w:beforeLines="50"/>
              <w:jc w:val="center"/>
              <w:rPr>
                <w:rFonts w:ascii="Arial" w:hAnsi="Arial" w:cs="Arial"/>
                <w:szCs w:val="21"/>
              </w:rPr>
            </w:pPr>
          </w:p>
        </w:tc>
        <w:tc>
          <w:tcPr>
            <w:tcW w:w="1003" w:type="dxa"/>
            <w:tcBorders>
              <w:top w:val="single" w:color="auto" w:sz="4" w:space="0"/>
              <w:left w:val="single" w:color="auto" w:sz="4" w:space="0"/>
              <w:bottom w:val="single" w:color="auto" w:sz="4" w:space="0"/>
              <w:right w:val="single" w:color="auto" w:sz="4" w:space="0"/>
            </w:tcBorders>
            <w:noWrap w:val="0"/>
            <w:vAlign w:val="center"/>
          </w:tcPr>
          <w:p w14:paraId="71D43DCA">
            <w:pPr>
              <w:snapToGrid w:val="0"/>
              <w:spacing w:before="156" w:beforeLines="50"/>
              <w:jc w:val="center"/>
              <w:rPr>
                <w:rFonts w:ascii="Arial" w:hAnsi="Arial" w:cs="Arial"/>
                <w:szCs w:val="21"/>
              </w:rPr>
            </w:pPr>
          </w:p>
        </w:tc>
        <w:tc>
          <w:tcPr>
            <w:tcW w:w="1130" w:type="dxa"/>
            <w:tcBorders>
              <w:top w:val="single" w:color="auto" w:sz="4" w:space="0"/>
              <w:left w:val="single" w:color="auto" w:sz="4" w:space="0"/>
              <w:bottom w:val="single" w:color="auto" w:sz="4" w:space="0"/>
              <w:right w:val="single" w:color="auto" w:sz="4" w:space="0"/>
            </w:tcBorders>
            <w:noWrap w:val="0"/>
            <w:vAlign w:val="center"/>
          </w:tcPr>
          <w:p w14:paraId="4CB15C38">
            <w:pPr>
              <w:snapToGrid w:val="0"/>
              <w:spacing w:before="156" w:beforeLines="50"/>
              <w:jc w:val="center"/>
              <w:rPr>
                <w:rFonts w:ascii="Arial" w:hAnsi="Arial" w:cs="Arial"/>
                <w:szCs w:val="21"/>
              </w:rPr>
            </w:pPr>
          </w:p>
        </w:tc>
        <w:tc>
          <w:tcPr>
            <w:tcW w:w="1031" w:type="dxa"/>
            <w:tcBorders>
              <w:top w:val="single" w:color="auto" w:sz="4" w:space="0"/>
              <w:left w:val="single" w:color="auto" w:sz="4" w:space="0"/>
              <w:bottom w:val="single" w:color="auto" w:sz="4" w:space="0"/>
              <w:right w:val="single" w:color="auto" w:sz="4" w:space="0"/>
            </w:tcBorders>
            <w:noWrap w:val="0"/>
            <w:vAlign w:val="top"/>
          </w:tcPr>
          <w:p w14:paraId="65487927">
            <w:pPr>
              <w:snapToGrid w:val="0"/>
              <w:spacing w:before="156" w:beforeLines="50"/>
              <w:jc w:val="center"/>
              <w:rPr>
                <w:rFonts w:ascii="Arial" w:hAnsi="Arial" w:cs="Arial"/>
                <w:szCs w:val="21"/>
              </w:rPr>
            </w:pPr>
          </w:p>
        </w:tc>
        <w:tc>
          <w:tcPr>
            <w:tcW w:w="734" w:type="dxa"/>
            <w:tcBorders>
              <w:top w:val="single" w:color="auto" w:sz="4" w:space="0"/>
              <w:left w:val="single" w:color="auto" w:sz="4" w:space="0"/>
              <w:bottom w:val="single" w:color="auto" w:sz="4" w:space="0"/>
              <w:right w:val="single" w:color="auto" w:sz="4" w:space="0"/>
            </w:tcBorders>
            <w:noWrap w:val="0"/>
            <w:vAlign w:val="center"/>
          </w:tcPr>
          <w:p w14:paraId="45227481">
            <w:pPr>
              <w:snapToGrid w:val="0"/>
              <w:spacing w:before="156" w:beforeLines="50"/>
              <w:jc w:val="center"/>
              <w:rPr>
                <w:rFonts w:ascii="Arial" w:hAnsi="Arial" w:cs="Arial"/>
                <w:szCs w:val="21"/>
              </w:rPr>
            </w:pPr>
          </w:p>
        </w:tc>
        <w:tc>
          <w:tcPr>
            <w:tcW w:w="1625" w:type="dxa"/>
            <w:tcBorders>
              <w:top w:val="single" w:color="auto" w:sz="4" w:space="0"/>
              <w:left w:val="single" w:color="auto" w:sz="4" w:space="0"/>
              <w:bottom w:val="single" w:color="auto" w:sz="4" w:space="0"/>
              <w:right w:val="single" w:color="auto" w:sz="4" w:space="0"/>
            </w:tcBorders>
            <w:noWrap w:val="0"/>
            <w:vAlign w:val="center"/>
          </w:tcPr>
          <w:p w14:paraId="564B8557">
            <w:pPr>
              <w:snapToGrid w:val="0"/>
              <w:spacing w:before="156" w:beforeLines="50"/>
              <w:jc w:val="center"/>
              <w:rPr>
                <w:rFonts w:ascii="Arial" w:hAnsi="Arial" w:cs="Arial"/>
                <w:szCs w:val="21"/>
              </w:rPr>
            </w:pPr>
          </w:p>
        </w:tc>
      </w:tr>
    </w:tbl>
    <w:p w14:paraId="18E3A2B4">
      <w:pPr>
        <w:snapToGrid w:val="0"/>
        <w:spacing w:before="156" w:beforeLines="50"/>
        <w:jc w:val="center"/>
        <w:rPr>
          <w:rFonts w:ascii="Arial" w:hAnsi="Arial" w:cs="Arial"/>
          <w:szCs w:val="21"/>
        </w:rPr>
      </w:pPr>
    </w:p>
    <w:p w14:paraId="53060176"/>
    <w:p w14:paraId="379E21BF">
      <w:pPr>
        <w:ind w:firstLine="945" w:firstLineChars="450"/>
        <w:rPr>
          <w:rFonts w:hint="eastAsia"/>
        </w:rPr>
      </w:pPr>
      <w:r>
        <w:t>供应商名称（盖章）</w:t>
      </w:r>
      <w:r>
        <w:rPr>
          <w:rFonts w:hint="eastAsia" w:ascii="Arial" w:hAnsi="Arial" w:cs="Arial"/>
          <w:szCs w:val="21"/>
        </w:rPr>
        <w:t xml:space="preserve"> </w:t>
      </w:r>
      <w:r>
        <w:rPr>
          <w:rFonts w:hint="eastAsia"/>
        </w:rPr>
        <w:t xml:space="preserve"> ：                        年   月   日</w:t>
      </w:r>
    </w:p>
    <w:p w14:paraId="685ACA43">
      <w:pPr>
        <w:adjustRightInd w:val="0"/>
        <w:snapToGrid w:val="0"/>
        <w:jc w:val="left"/>
        <w:rPr>
          <w:rFonts w:ascii="宋体" w:hAnsi="宋体"/>
          <w:b/>
          <w:color w:val="0000FF"/>
          <w:sz w:val="28"/>
          <w:szCs w:val="28"/>
        </w:rPr>
      </w:pPr>
    </w:p>
    <w:p w14:paraId="09C3E5FC">
      <w:pPr>
        <w:pStyle w:val="6"/>
        <w:snapToGrid w:val="0"/>
        <w:outlineLvl w:val="0"/>
        <w:rPr>
          <w:rFonts w:hint="eastAsia" w:hAnsi="宋体"/>
        </w:rPr>
      </w:pPr>
    </w:p>
    <w:sectPr>
      <w:headerReference r:id="rId3" w:type="default"/>
      <w:footerReference r:id="rId4" w:type="default"/>
      <w:pgSz w:w="11906" w:h="16838"/>
      <w:pgMar w:top="113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CFD70">
    <w:pPr>
      <w:pStyle w:val="7"/>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69EF6EA7">
                <w:pPr>
                  <w:pStyle w:val="7"/>
                </w:pPr>
                <w:r>
                  <w:fldChar w:fldCharType="begin"/>
                </w:r>
                <w:r>
                  <w:instrText xml:space="preserve"> PAGE  \* MERGEFORMAT </w:instrText>
                </w:r>
                <w:r>
                  <w:fldChar w:fldCharType="separate"/>
                </w:r>
                <w:r>
                  <w:t>1</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8D959">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AB6B94"/>
    <w:multiLevelType w:val="multilevel"/>
    <w:tmpl w:val="3EAB6B94"/>
    <w:lvl w:ilvl="0" w:tentative="0">
      <w:start w:val="1"/>
      <w:numFmt w:val="decimal"/>
      <w:lvlText w:val="%1、"/>
      <w:lvlJc w:val="left"/>
      <w:pPr>
        <w:tabs>
          <w:tab w:val="left" w:pos="360"/>
        </w:tabs>
        <w:ind w:left="360" w:hanging="360"/>
      </w:pPr>
      <w:rPr>
        <w:rFonts w:hint="default"/>
        <w:color w:val="auto"/>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4A10289D"/>
    <w:multiLevelType w:val="singleLevel"/>
    <w:tmpl w:val="4A10289D"/>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documentProtection w:enforcement="0"/>
  <w:defaultTabStop w:val="420"/>
  <w:displayHorizontalDrawingGridEvery w:val="0"/>
  <w:displayVerticalDrawingGridEvery w:val="2"/>
  <w:doNotShadeFormData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18C66D91"/>
    <w:rsid w:val="32F127A1"/>
    <w:rsid w:val="3F163194"/>
    <w:rsid w:val="6B247EEE"/>
    <w:rsid w:val="746D56A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6"/>
    <w:qFormat/>
    <w:uiPriority w:val="0"/>
    <w:pPr>
      <w:keepNext/>
      <w:keepLines/>
      <w:spacing w:before="340" w:after="330" w:line="578" w:lineRule="auto"/>
      <w:outlineLvl w:val="0"/>
    </w:pPr>
    <w:rPr>
      <w:b/>
      <w:bCs/>
      <w:kern w:val="44"/>
      <w:sz w:val="44"/>
      <w:szCs w:val="44"/>
    </w:rPr>
  </w:style>
  <w:style w:type="character" w:default="1" w:styleId="10">
    <w:name w:val="Default Paragraph Font"/>
    <w:semiHidden/>
    <w:qFormat/>
    <w:uiPriority w:val="0"/>
  </w:style>
  <w:style w:type="table" w:default="1" w:styleId="9">
    <w:name w:val="Normal Table"/>
    <w:semiHidden/>
    <w:uiPriority w:val="0"/>
    <w:tblPr>
      <w:tblCellMar>
        <w:top w:w="0" w:type="dxa"/>
        <w:left w:w="108" w:type="dxa"/>
        <w:bottom w:w="0" w:type="dxa"/>
        <w:right w:w="108" w:type="dxa"/>
      </w:tblCellMar>
    </w:tblPr>
  </w:style>
  <w:style w:type="paragraph" w:styleId="3">
    <w:name w:val="List 3"/>
    <w:basedOn w:val="1"/>
    <w:qFormat/>
    <w:uiPriority w:val="0"/>
    <w:pPr>
      <w:ind w:left="100" w:leftChars="400" w:hanging="200" w:hangingChars="200"/>
    </w:pPr>
    <w:rPr>
      <w:rFonts w:ascii="宋体" w:hAnsi="Courier New"/>
      <w:szCs w:val="20"/>
    </w:rPr>
  </w:style>
  <w:style w:type="paragraph" w:styleId="4">
    <w:name w:val="annotation text"/>
    <w:basedOn w:val="1"/>
    <w:uiPriority w:val="0"/>
    <w:pPr>
      <w:jc w:val="left"/>
    </w:pPr>
  </w:style>
  <w:style w:type="paragraph" w:styleId="5">
    <w:name w:val="Body Text"/>
    <w:basedOn w:val="1"/>
    <w:qFormat/>
    <w:uiPriority w:val="0"/>
    <w:pPr>
      <w:spacing w:after="120"/>
    </w:pPr>
    <w:rPr>
      <w:rFonts w:ascii="Calibri" w:hAnsi="Calibri"/>
    </w:rPr>
  </w:style>
  <w:style w:type="paragraph" w:styleId="6">
    <w:name w:val="Plain Text"/>
    <w:basedOn w:val="1"/>
    <w:link w:val="12"/>
    <w:uiPriority w:val="0"/>
    <w:rPr>
      <w:rFonts w:ascii="宋体" w:hAnsi="Courier New" w:cs="Courier New"/>
      <w:szCs w:val="21"/>
    </w:rPr>
  </w:style>
  <w:style w:type="paragraph" w:styleId="7">
    <w:name w:val="footer"/>
    <w:basedOn w:val="1"/>
    <w:link w:val="14"/>
    <w:qFormat/>
    <w:uiPriority w:val="0"/>
    <w:pPr>
      <w:tabs>
        <w:tab w:val="center" w:pos="4153"/>
        <w:tab w:val="right" w:pos="8306"/>
      </w:tabs>
      <w:snapToGrid w:val="0"/>
      <w:jc w:val="left"/>
    </w:pPr>
    <w:rPr>
      <w:sz w:val="18"/>
      <w:szCs w:val="18"/>
    </w:rPr>
  </w:style>
  <w:style w:type="paragraph" w:styleId="8">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customStyle="1" w:styleId="11">
    <w:name w:val="Char Char Char Char Char Char Char"/>
    <w:basedOn w:val="1"/>
    <w:uiPriority w:val="0"/>
  </w:style>
  <w:style w:type="character" w:customStyle="1" w:styleId="12">
    <w:name w:val="纯文本 Char"/>
    <w:basedOn w:val="10"/>
    <w:link w:val="6"/>
    <w:qFormat/>
    <w:uiPriority w:val="0"/>
    <w:rPr>
      <w:rFonts w:ascii="宋体" w:hAnsi="Courier New" w:eastAsia="宋体" w:cs="Courier New"/>
      <w:kern w:val="2"/>
      <w:sz w:val="21"/>
      <w:szCs w:val="21"/>
      <w:lang w:val="en-US" w:eastAsia="zh-CN" w:bidi="ar-SA"/>
    </w:rPr>
  </w:style>
  <w:style w:type="character" w:customStyle="1" w:styleId="13">
    <w:name w:val="页眉 Char"/>
    <w:basedOn w:val="10"/>
    <w:link w:val="8"/>
    <w:qFormat/>
    <w:uiPriority w:val="0"/>
    <w:rPr>
      <w:kern w:val="2"/>
      <w:sz w:val="18"/>
      <w:szCs w:val="18"/>
    </w:rPr>
  </w:style>
  <w:style w:type="character" w:customStyle="1" w:styleId="14">
    <w:name w:val="页脚 Char"/>
    <w:basedOn w:val="10"/>
    <w:link w:val="7"/>
    <w:uiPriority w:val="0"/>
    <w:rPr>
      <w:kern w:val="2"/>
      <w:sz w:val="18"/>
      <w:szCs w:val="18"/>
    </w:rPr>
  </w:style>
  <w:style w:type="paragraph" w:customStyle="1" w:styleId="15">
    <w:name w:val=" Char2"/>
    <w:basedOn w:val="1"/>
    <w:qFormat/>
    <w:uiPriority w:val="0"/>
    <w:pPr>
      <w:widowControl/>
      <w:spacing w:after="160" w:line="240" w:lineRule="exact"/>
      <w:jc w:val="left"/>
    </w:pPr>
    <w:rPr>
      <w:rFonts w:ascii="Verdana" w:hAnsi="Verdana"/>
      <w:kern w:val="0"/>
      <w:szCs w:val="20"/>
      <w:lang w:eastAsia="en-US"/>
    </w:rPr>
  </w:style>
  <w:style w:type="character" w:customStyle="1" w:styleId="16">
    <w:name w:val="标题 1 Char"/>
    <w:basedOn w:val="10"/>
    <w:link w:val="2"/>
    <w:qFormat/>
    <w:uiPriority w:val="0"/>
    <w:rPr>
      <w:rFonts w:eastAsia="宋体"/>
      <w:b/>
      <w:bCs/>
      <w:kern w:val="44"/>
      <w:sz w:val="44"/>
      <w:szCs w:val="4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Pages>
  <Words>6433</Words>
  <Characters>7270</Characters>
  <TotalTime>3</TotalTime>
  <ScaleCrop>false</ScaleCrop>
  <LinksUpToDate>false</LinksUpToDate>
  <CharactersWithSpaces>7446</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2026-10-23T16:10:00Z</dcterms:created>
  <dc:creator>admin</dc:creator>
  <cp:lastModifiedBy>霞</cp:lastModifiedBy>
  <dcterms:modified xsi:type="dcterms:W3CDTF">2026-10-25T13:36:58Z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eyJoZGlkIjoiYmM5NWE3ZTRjYjQ0MWM4NDE4MDMwMzNkMDhkNmJiNWEiLCJ1c2VySWQiOiI5MDYwMjc5MTgifQ==</vt:lpwstr>
  </property>
  <property fmtid="{D5CDD505-2E9C-101B-9397-08002B2CF9AE}" pid="3" name="KSOProductBuildVer">
    <vt:lpwstr>2052-12.1.0.28505</vt:lpwstr>
  </property>
  <property fmtid="{D5CDD505-2E9C-101B-9397-08002B2CF9AE}" pid="4" name="ICV">
    <vt:lpwstr>AB6B1023164249669A5864D51F26358D_12</vt:lpwstr>
  </property>
</Properties>
</file>