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2F398"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商学院专业数智化转型</w:t>
      </w:r>
      <w:r>
        <w:rPr>
          <w:rFonts w:hint="eastAsia"/>
          <w:sz w:val="44"/>
          <w:szCs w:val="44"/>
          <w:lang w:val="en-US" w:eastAsia="zh-CN"/>
        </w:rPr>
        <w:t>思路与举措</w:t>
      </w:r>
    </w:p>
    <w:p w14:paraId="3CE066F9">
      <w:pPr>
        <w:rPr>
          <w:rFonts w:hint="eastAsia"/>
          <w:lang w:eastAsia="zh-CN"/>
        </w:rPr>
      </w:pPr>
    </w:p>
    <w:p w14:paraId="71C63249">
      <w:pPr>
        <w:rPr>
          <w:rFonts w:hint="eastAsia"/>
          <w:lang w:eastAsia="zh-CN"/>
        </w:rPr>
      </w:pPr>
    </w:p>
    <w:p w14:paraId="71C2BC08">
      <w:pPr>
        <w:widowControl w:val="0"/>
        <w:numPr>
          <w:ilvl w:val="0"/>
          <w:numId w:val="0"/>
        </w:numPr>
        <w:ind w:left="420" w:leftChars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一、思路：</w:t>
      </w:r>
    </w:p>
    <w:p w14:paraId="21D344B1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1.加快各专业数智化转型升级，抢占人工智能应用领域。</w:t>
      </w:r>
    </w:p>
    <w:p w14:paraId="0D0A2574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人工智能目前席卷全球，在各行各业都改变着原有生态，这既是挑战，也是机遇。要接住这一波AI红利，必须在专业建设方面先行，只有专业进行数智化转型升级，才能培养符合社会发展的合格人才。</w:t>
      </w:r>
    </w:p>
    <w:p w14:paraId="122D684E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2.推动“教、学、研、用”一体化发展。</w:t>
      </w:r>
    </w:p>
    <w:p w14:paraId="39FD1CDF">
      <w:pPr>
        <w:widowControl w:val="0"/>
        <w:numPr>
          <w:ilvl w:val="0"/>
          <w:numId w:val="0"/>
        </w:num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在学校高质量发展的战略指引下，我院获批广西区级“企业数字化运营实验教学示范中心”。本中心建设旨在服务广西数字经济与产业升级，紧扣“新文科”内涵，致力于打造区内领先、特色鲜明的数字化运营人才培养高地，培养掌握现代数字技术、精通企业运营管理的复合型创新人才，支撑区域产业数字化转型。总体上以“数字赋能、产教融合、创新驱动”为核心，构建由浅入深的“基础认知--专项技能--综合实战--创新孵化”四阶实践教学体系，深度融合大数据、人工智能等前沿技术，紧密对接区域重点产业链需求，最终实现“教、学、研、用”一体化发展。</w:t>
      </w:r>
    </w:p>
    <w:p w14:paraId="589A72F3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二、举措</w:t>
      </w:r>
    </w:p>
    <w:p w14:paraId="1ED84E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1.出台商学院专业数智化转型文件，大力推动专业升级。</w:t>
      </w:r>
    </w:p>
    <w:p w14:paraId="59F876D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4" w:lineRule="atLeast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为深入贯彻落实教育强国、教育数字化战略部署，紧密结合学校深化综合改革要求，构建具有桂电特色的高水平新商科人才自主培养体系，</w:t>
      </w:r>
      <w:r>
        <w:rPr>
          <w:rFonts w:hint="default"/>
          <w:sz w:val="28"/>
          <w:szCs w:val="36"/>
          <w:lang w:eastAsia="zh-CN"/>
          <w:woUserID w:val="1"/>
        </w:rPr>
        <w:t>拟推出</w:t>
      </w:r>
      <w:r>
        <w:rPr>
          <w:rFonts w:hint="eastAsia"/>
          <w:sz w:val="28"/>
          <w:szCs w:val="36"/>
          <w:lang w:val="en-US" w:eastAsia="zh-CN"/>
        </w:rPr>
        <w:t>《商学院本科专业升级和数智化转型专项行动实施方案（2025</w:t>
      </w:r>
      <w:r>
        <w:rPr>
          <w:color w:val="2C3E50"/>
          <w:sz w:val="28"/>
          <w:szCs w:val="28"/>
        </w:rPr>
        <w:t>—</w:t>
      </w:r>
      <w:r>
        <w:rPr>
          <w:rFonts w:hint="eastAsia"/>
          <w:sz w:val="28"/>
          <w:szCs w:val="36"/>
          <w:lang w:val="en-US" w:eastAsia="zh-CN"/>
        </w:rPr>
        <w:t xml:space="preserve">2027）》，紧密对接国家战略及区域经济社会发展需求，紧跟战略性新兴产业的发展趋势，以人工智能、大数据、云计算等交叉学科前沿技术赋能人才培养，加快推进教育教学数字化转型、智能化升级。到 </w:t>
      </w:r>
      <w:r>
        <w:rPr>
          <w:rFonts w:hint="default"/>
          <w:sz w:val="28"/>
          <w:szCs w:val="36"/>
          <w:lang w:val="en-US" w:eastAsia="zh-CN"/>
        </w:rPr>
        <w:t>202</w:t>
      </w:r>
      <w:r>
        <w:rPr>
          <w:rFonts w:hint="eastAsia"/>
          <w:sz w:val="28"/>
          <w:szCs w:val="36"/>
          <w:lang w:val="en-US" w:eastAsia="zh-CN"/>
        </w:rPr>
        <w:t xml:space="preserve">7年，重塑人才培养新目标，通过 </w:t>
      </w:r>
      <w:r>
        <w:rPr>
          <w:rFonts w:hint="default"/>
          <w:sz w:val="28"/>
          <w:szCs w:val="36"/>
          <w:lang w:val="en-US" w:eastAsia="zh-CN"/>
        </w:rPr>
        <w:t xml:space="preserve">AI </w:t>
      </w:r>
      <w:r>
        <w:rPr>
          <w:rFonts w:hint="eastAsia"/>
          <w:sz w:val="28"/>
          <w:szCs w:val="36"/>
          <w:lang w:val="en-US" w:eastAsia="zh-CN"/>
        </w:rPr>
        <w:t>赋能专业建设、课程建设、教材建设、师资建设、创新创业教育和教学管理与评价等，全面构建教育教学新生态，促使学科专业建设更具竞争优势，最终建成在区内处于领先地位、在国内具有重要影响力的高水平人才自主培养体系。</w:t>
      </w:r>
    </w:p>
    <w:p w14:paraId="5B113E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专业建设：优化人才培养方案，设立专门的人工智能板块课程，</w:t>
      </w:r>
      <w:r>
        <w:rPr>
          <w:rFonts w:hint="default"/>
          <w:sz w:val="28"/>
          <w:szCs w:val="36"/>
          <w:lang w:eastAsia="zh-CN"/>
          <w:woUserID w:val="1"/>
        </w:rPr>
        <w:t>强化各专业的人工智能的应用。增</w:t>
      </w:r>
      <w:r>
        <w:rPr>
          <w:rFonts w:hint="eastAsia"/>
          <w:sz w:val="28"/>
          <w:szCs w:val="36"/>
          <w:lang w:val="en-US" w:eastAsia="zh-CN"/>
        </w:rPr>
        <w:t>开一门《人工智能工具的应用》全院必修课。</w:t>
      </w:r>
    </w:p>
    <w:p w14:paraId="5C2FFD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课程建设：每个专业选出2门课程，优先资助进行课程数智化改造，积累经验并逐步推广。</w:t>
      </w:r>
    </w:p>
    <w:p w14:paraId="2820E69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教材建设：减少对纸质教材的资助，重点加大数字教材的资助力度，争取在教材方面在全区领先。</w:t>
      </w:r>
      <w:bookmarkStart w:id="0" w:name="_GoBack"/>
      <w:bookmarkEnd w:id="0"/>
    </w:p>
    <w:p w14:paraId="171204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师资建设：加大对人工智能背景教师的引入，对现有教师进行人工智能赋能教学应用培训，使教师尽快完成转变。</w:t>
      </w:r>
    </w:p>
    <w:p w14:paraId="4877ED7F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2.“企业数字化运营实验教学示范中心”建设</w:t>
      </w:r>
    </w:p>
    <w:p w14:paraId="74788C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（1）升级实验平台，建设智能供应链仿真、大数据商业决策、数字营销实战等模块，打造现代化实验教学空间；</w:t>
      </w:r>
    </w:p>
    <w:p w14:paraId="2EC6AC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（2）重构实验课程，开发《企业数字化运营沙盘》等核心课程，确保70%以上专业课程融入数字化实验项目；</w:t>
      </w:r>
    </w:p>
    <w:p w14:paraId="597E2B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（3）强化师资队伍，实施“双师双能”提升计划，引育结合组建校企混编团队，设立基金激励教改与自制设备研发；</w:t>
      </w:r>
    </w:p>
    <w:p w14:paraId="79BA14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（4）构建产教生态，深化与本地制造、物流、科技龙头企业合作，共建基地与联合实验室，引入企业真实项目进课堂。</w:t>
      </w:r>
    </w:p>
    <w:p w14:paraId="2AAF3065">
      <w:pPr>
        <w:numPr>
          <w:ilvl w:val="0"/>
          <w:numId w:val="0"/>
        </w:numPr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66482"/>
    <w:rsid w:val="00C80D55"/>
    <w:rsid w:val="151606D4"/>
    <w:rsid w:val="19EF60AD"/>
    <w:rsid w:val="1B9F14C3"/>
    <w:rsid w:val="5EFB2BAF"/>
    <w:rsid w:val="60B119A7"/>
    <w:rsid w:val="69AA40EB"/>
    <w:rsid w:val="6AE115CF"/>
    <w:rsid w:val="70966482"/>
    <w:rsid w:val="DE9D965D"/>
    <w:rsid w:val="FFB5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1144</Words>
  <Characters>1166</Characters>
  <Lines>0</Lines>
  <Paragraphs>0</Paragraphs>
  <TotalTime>0</TotalTime>
  <ScaleCrop>false</ScaleCrop>
  <LinksUpToDate>false</LinksUpToDate>
  <CharactersWithSpaces>1169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2025-08-06T05:58:00Z</dcterms:created>
  <dc:creator>俊楠</dc:creator>
  <cp:lastModifiedBy>幺幺</cp:lastModifiedBy>
  <dcterms:modified xsi:type="dcterms:W3CDTF">2025-09-03T15:27:00Z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072745491FA8D89AC4EDB768183CBEEB_43</vt:lpwstr>
  </property>
  <property fmtid="{D5CDD505-2E9C-101B-9397-08002B2CF9AE}" pid="4" name="KSOTemplateDocerSaveRecord">
    <vt:lpwstr>eyJoZGlkIjoiMTgyY2Y5Y2UxZjkwY2NiYzg1MTM4ZmQzOTFhYWJhY2IiLCJ1c2VySWQiOiI3ODgxMjU0NTkifQ==</vt:lpwstr>
  </property>
</Properties>
</file>