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11"/>
        <w:spacing w:before="146" w:line="1494" w:lineRule="exact"/>
        <w:textAlignment w:val="center"/>
        <w:rPr/>
      </w:pPr>
      <w:r>
        <w:drawing>
          <wp:inline distT="0" distB="0" distL="0" distR="0">
            <wp:extent cx="5591276" cy="948599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91276" cy="94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auto"/>
        <w:rPr>
          <w:rFonts w:ascii="Arial"/>
          <w:sz w:val="21"/>
        </w:rPr>
      </w:pPr>
      <w:r/>
    </w:p>
    <w:p>
      <w:pPr>
        <w:ind w:right="76"/>
        <w:spacing w:before="101" w:line="224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教</w:t>
      </w:r>
      <w:r>
        <w:rPr>
          <w:rFonts w:ascii="FangSong" w:hAnsi="FangSong" w:eastAsia="FangSong" w:cs="FangSong"/>
          <w:sz w:val="31"/>
          <w:szCs w:val="31"/>
          <w:spacing w:val="7"/>
        </w:rPr>
        <w:t>高厅函〔</w:t>
      </w:r>
      <w:r>
        <w:rPr>
          <w:rFonts w:ascii="Arial" w:hAnsi="Arial" w:eastAsia="Arial" w:cs="Arial"/>
          <w:sz w:val="31"/>
          <w:szCs w:val="31"/>
          <w:spacing w:val="7"/>
        </w:rPr>
        <w:t>2023</w:t>
      </w:r>
      <w:r>
        <w:rPr>
          <w:rFonts w:ascii="FangSong" w:hAnsi="FangSong" w:eastAsia="FangSong" w:cs="FangSong"/>
          <w:sz w:val="31"/>
          <w:szCs w:val="31"/>
          <w:spacing w:val="7"/>
        </w:rPr>
        <w:t>〕</w:t>
      </w:r>
      <w:r>
        <w:rPr>
          <w:rFonts w:ascii="Arial" w:hAnsi="Arial" w:eastAsia="Arial" w:cs="Arial"/>
          <w:sz w:val="31"/>
          <w:szCs w:val="31"/>
          <w:spacing w:val="7"/>
        </w:rPr>
        <w:t>3</w:t>
      </w:r>
      <w:r>
        <w:rPr>
          <w:rFonts w:ascii="Arial" w:hAnsi="Arial" w:eastAsia="Arial" w:cs="Arial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号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61" w:right="134" w:firstLine="202"/>
        <w:spacing w:before="139" w:line="288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17"/>
        </w:rPr>
        <w:t>教</w:t>
      </w:r>
      <w:r>
        <w:rPr>
          <w:rFonts w:ascii="SimSun" w:hAnsi="SimSun" w:eastAsia="SimSun" w:cs="SimSun"/>
          <w:sz w:val="43"/>
          <w:szCs w:val="43"/>
          <w:spacing w:val="9"/>
        </w:rPr>
        <w:t>育部办公厅关于组织开展战略性新兴领域</w:t>
      </w:r>
      <w:r>
        <w:rPr>
          <w:rFonts w:ascii="SimSun" w:hAnsi="SimSun" w:eastAsia="SimSun" w:cs="SimSun"/>
          <w:sz w:val="43"/>
          <w:szCs w:val="43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16"/>
        </w:rPr>
        <w:t>“</w:t>
      </w:r>
      <w:r>
        <w:rPr>
          <w:rFonts w:ascii="SimSun" w:hAnsi="SimSun" w:eastAsia="SimSun" w:cs="SimSun"/>
          <w:sz w:val="43"/>
          <w:szCs w:val="43"/>
          <w:spacing w:val="11"/>
        </w:rPr>
        <w:t>十</w:t>
      </w:r>
      <w:r>
        <w:rPr>
          <w:rFonts w:ascii="SimSun" w:hAnsi="SimSun" w:eastAsia="SimSun" w:cs="SimSun"/>
          <w:sz w:val="43"/>
          <w:szCs w:val="43"/>
          <w:spacing w:val="8"/>
        </w:rPr>
        <w:t>四五”高等教育教材体系建设工作的通知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33" w:right="112" w:firstLine="1"/>
        <w:spacing w:before="10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各省、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自治区、直辖市教育厅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(教委)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，新疆生产建设兵团教育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局，有</w:t>
      </w:r>
      <w:r>
        <w:rPr>
          <w:rFonts w:ascii="FangSong" w:hAnsi="FangSong" w:eastAsia="FangSong" w:cs="FangSong"/>
          <w:sz w:val="31"/>
          <w:szCs w:val="31"/>
          <w:spacing w:val="5"/>
        </w:rPr>
        <w:t>关</w:t>
      </w:r>
      <w:r>
        <w:rPr>
          <w:rFonts w:ascii="FangSong" w:hAnsi="FangSong" w:eastAsia="FangSong" w:cs="FangSong"/>
          <w:sz w:val="31"/>
          <w:szCs w:val="31"/>
          <w:spacing w:val="4"/>
        </w:rPr>
        <w:t>部门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(单位)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教育司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(局)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，部属各高等学校、部省合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建</w:t>
      </w:r>
      <w:r>
        <w:rPr>
          <w:rFonts w:ascii="FangSong" w:hAnsi="FangSong" w:eastAsia="FangSong" w:cs="FangSong"/>
          <w:sz w:val="31"/>
          <w:szCs w:val="31"/>
          <w:spacing w:val="12"/>
        </w:rPr>
        <w:t>有</w:t>
      </w:r>
      <w:r>
        <w:rPr>
          <w:rFonts w:ascii="FangSong" w:hAnsi="FangSong" w:eastAsia="FangSong" w:cs="FangSong"/>
          <w:sz w:val="31"/>
          <w:szCs w:val="31"/>
          <w:spacing w:val="8"/>
        </w:rPr>
        <w:t>关高等学校，有关直属单位、有关出版单位：</w:t>
      </w:r>
    </w:p>
    <w:p>
      <w:pPr>
        <w:ind w:left="33" w:right="112" w:firstLine="651"/>
        <w:spacing w:before="6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为</w:t>
      </w:r>
      <w:r>
        <w:rPr>
          <w:rFonts w:ascii="FangSong" w:hAnsi="FangSong" w:eastAsia="FangSong" w:cs="FangSong"/>
          <w:sz w:val="31"/>
          <w:szCs w:val="31"/>
          <w:spacing w:val="6"/>
        </w:rPr>
        <w:t>全</w:t>
      </w:r>
      <w:r>
        <w:rPr>
          <w:rFonts w:ascii="FangSong" w:hAnsi="FangSong" w:eastAsia="FangSong" w:cs="FangSong"/>
          <w:sz w:val="31"/>
          <w:szCs w:val="31"/>
          <w:spacing w:val="4"/>
        </w:rPr>
        <w:t>面贯彻党的二十大精神，深入贯彻落实习近平总书记关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于</w:t>
      </w:r>
      <w:r>
        <w:rPr>
          <w:rFonts w:ascii="FangSong" w:hAnsi="FangSong" w:eastAsia="FangSong" w:cs="FangSong"/>
          <w:sz w:val="31"/>
          <w:szCs w:val="31"/>
          <w:spacing w:val="5"/>
        </w:rPr>
        <w:t>教育的重要论述，深化新工科建设，加强高等学校战略性新兴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领</w:t>
      </w:r>
      <w:r>
        <w:rPr>
          <w:rFonts w:ascii="FangSong" w:hAnsi="FangSong" w:eastAsia="FangSong" w:cs="FangSong"/>
          <w:sz w:val="31"/>
          <w:szCs w:val="31"/>
          <w:spacing w:val="5"/>
        </w:rPr>
        <w:t>域卓越工程师培养，根据《普通高等学校教材管理办法》有关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要</w:t>
      </w:r>
      <w:r>
        <w:rPr>
          <w:rFonts w:ascii="FangSong" w:hAnsi="FangSong" w:eastAsia="FangSong" w:cs="FangSong"/>
          <w:sz w:val="31"/>
          <w:szCs w:val="31"/>
          <w:spacing w:val="5"/>
        </w:rPr>
        <w:t>求，经研究，决定组织开展战略性新兴领域“十四五”高等教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育</w:t>
      </w:r>
      <w:r>
        <w:rPr>
          <w:rFonts w:ascii="FangSong" w:hAnsi="FangSong" w:eastAsia="FangSong" w:cs="FangSong"/>
          <w:sz w:val="31"/>
          <w:szCs w:val="31"/>
          <w:spacing w:val="10"/>
        </w:rPr>
        <w:t>教</w:t>
      </w:r>
      <w:r>
        <w:rPr>
          <w:rFonts w:ascii="FangSong" w:hAnsi="FangSong" w:eastAsia="FangSong" w:cs="FangSong"/>
          <w:sz w:val="31"/>
          <w:szCs w:val="31"/>
          <w:spacing w:val="8"/>
        </w:rPr>
        <w:t>材体系建设工作。现将有关事项通知如下。</w:t>
      </w:r>
    </w:p>
    <w:p>
      <w:pPr>
        <w:ind w:left="669"/>
        <w:spacing w:line="489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3"/>
        </w:rPr>
        <w:t>一、建设目标</w:t>
      </w:r>
    </w:p>
    <w:p>
      <w:pPr>
        <w:ind w:left="32" w:right="112" w:firstLine="655"/>
        <w:spacing w:before="73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落</w:t>
      </w:r>
      <w:r>
        <w:rPr>
          <w:rFonts w:ascii="FangSong" w:hAnsi="FangSong" w:eastAsia="FangSong" w:cs="FangSong"/>
          <w:sz w:val="31"/>
          <w:szCs w:val="31"/>
          <w:spacing w:val="4"/>
        </w:rPr>
        <w:t>实立德树人根本任务，充分发挥教材作为人才培养关键要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素</w:t>
      </w:r>
      <w:r>
        <w:rPr>
          <w:rFonts w:ascii="FangSong" w:hAnsi="FangSong" w:eastAsia="FangSong" w:cs="FangSong"/>
          <w:sz w:val="31"/>
          <w:szCs w:val="31"/>
          <w:spacing w:val="5"/>
        </w:rPr>
        <w:t>的重要作用，着力破解战略性新兴领域高等教育教材整体规划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性</w:t>
      </w:r>
      <w:r>
        <w:rPr>
          <w:rFonts w:ascii="FangSong" w:hAnsi="FangSong" w:eastAsia="FangSong" w:cs="FangSong"/>
          <w:sz w:val="31"/>
          <w:szCs w:val="31"/>
          <w:spacing w:val="5"/>
        </w:rPr>
        <w:t>不强、部分内容陈旧、更新迭代速度慢等问题，加快建设体现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时</w:t>
      </w:r>
      <w:r>
        <w:rPr>
          <w:rFonts w:ascii="FangSong" w:hAnsi="FangSong" w:eastAsia="FangSong" w:cs="FangSong"/>
          <w:sz w:val="31"/>
          <w:szCs w:val="31"/>
          <w:spacing w:val="5"/>
        </w:rPr>
        <w:t>代精神、融汇产学共识、凸显数字赋能、具有战略性新兴领域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特</w:t>
      </w:r>
      <w:r>
        <w:rPr>
          <w:rFonts w:ascii="FangSong" w:hAnsi="FangSong" w:eastAsia="FangSong" w:cs="FangSong"/>
          <w:sz w:val="31"/>
          <w:szCs w:val="31"/>
          <w:spacing w:val="5"/>
        </w:rPr>
        <w:t>色的高等教育专业教材体系，牵引带动相关领域核心课程、重</w:t>
      </w:r>
    </w:p>
    <w:p>
      <w:pPr>
        <w:ind w:left="50"/>
        <w:spacing w:before="1" w:line="21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点实践项目、高水</w:t>
      </w:r>
      <w:r>
        <w:rPr>
          <w:rFonts w:ascii="FangSong" w:hAnsi="FangSong" w:eastAsia="FangSong" w:cs="FangSong"/>
          <w:sz w:val="31"/>
          <w:szCs w:val="31"/>
          <w:spacing w:val="-2"/>
        </w:rPr>
        <w:t>平教学团队建设，着力提升人才自主培养质量。</w:t>
      </w:r>
    </w:p>
    <w:p>
      <w:pPr>
        <w:sectPr>
          <w:footerReference w:type="default" r:id="rId1"/>
          <w:pgSz w:w="11905" w:h="16837"/>
          <w:pgMar w:top="1431" w:right="1418" w:bottom="1808" w:left="1518" w:header="0" w:footer="1678" w:gutter="0"/>
        </w:sectPr>
        <w:rPr/>
      </w:pPr>
    </w:p>
    <w:p>
      <w:pPr>
        <w:spacing w:line="461" w:lineRule="auto"/>
        <w:rPr>
          <w:rFonts w:ascii="Arial"/>
          <w:sz w:val="21"/>
        </w:rPr>
      </w:pPr>
      <w:r/>
    </w:p>
    <w:p>
      <w:pPr>
        <w:ind w:left="665"/>
        <w:spacing w:before="101" w:line="23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二、建设范围</w:t>
      </w:r>
    </w:p>
    <w:p>
      <w:pPr>
        <w:ind w:right="248" w:firstLine="669"/>
        <w:spacing w:before="17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根据《“</w:t>
      </w:r>
      <w:r>
        <w:rPr>
          <w:rFonts w:ascii="FangSong" w:hAnsi="FangSong" w:eastAsia="FangSong" w:cs="FangSong"/>
          <w:sz w:val="31"/>
          <w:szCs w:val="31"/>
          <w:spacing w:val="4"/>
        </w:rPr>
        <w:t>十四五”国家战略性新兴产业发展规划》要求，重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点</w:t>
      </w:r>
      <w:r>
        <w:rPr>
          <w:rFonts w:ascii="FangSong" w:hAnsi="FangSong" w:eastAsia="FangSong" w:cs="FangSong"/>
          <w:sz w:val="31"/>
          <w:szCs w:val="31"/>
          <w:spacing w:val="6"/>
        </w:rPr>
        <w:t>在新一代信息技术、生物产业、新能源、新材料、智能及高端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装</w:t>
      </w:r>
      <w:r>
        <w:rPr>
          <w:rFonts w:ascii="FangSong" w:hAnsi="FangSong" w:eastAsia="FangSong" w:cs="FangSong"/>
          <w:sz w:val="31"/>
          <w:szCs w:val="31"/>
          <w:spacing w:val="6"/>
        </w:rPr>
        <w:t>备制造、智能网联和新能源汽车、绿色环保、航空航天、未来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产</w:t>
      </w:r>
      <w:r>
        <w:rPr>
          <w:rFonts w:ascii="FangSong" w:hAnsi="FangSong" w:eastAsia="FangSong" w:cs="FangSong"/>
          <w:sz w:val="31"/>
          <w:szCs w:val="31"/>
          <w:spacing w:val="6"/>
        </w:rPr>
        <w:t>业等领域，以及其他具有重要战略性、基础性的相关领域开展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“十四五”高等教育教材体系建设</w:t>
      </w:r>
      <w:r>
        <w:rPr>
          <w:rFonts w:ascii="FangSong" w:hAnsi="FangSong" w:eastAsia="FangSong" w:cs="FangSong"/>
          <w:sz w:val="31"/>
          <w:szCs w:val="31"/>
          <w:spacing w:val="7"/>
        </w:rPr>
        <w:t>。</w:t>
      </w:r>
    </w:p>
    <w:p>
      <w:pPr>
        <w:ind w:left="666"/>
        <w:spacing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三、建设任</w:t>
      </w:r>
      <w:r>
        <w:rPr>
          <w:rFonts w:ascii="SimHei" w:hAnsi="SimHei" w:eastAsia="SimHei" w:cs="SimHei"/>
          <w:sz w:val="31"/>
          <w:szCs w:val="31"/>
          <w:spacing w:val="5"/>
        </w:rPr>
        <w:t>务</w:t>
      </w:r>
    </w:p>
    <w:p>
      <w:pPr>
        <w:ind w:left="669"/>
        <w:spacing w:before="178" w:line="21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充分发挥“新兴领</w:t>
      </w:r>
      <w:r>
        <w:rPr>
          <w:rFonts w:ascii="FangSong" w:hAnsi="FangSong" w:eastAsia="FangSong" w:cs="FangSong"/>
          <w:sz w:val="31"/>
          <w:szCs w:val="31"/>
          <w:spacing w:val="-1"/>
        </w:rPr>
        <w:t>域教材体系建设研究与实践”项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目成果作</w:t>
      </w:r>
    </w:p>
    <w:p>
      <w:pPr>
        <w:ind w:left="28"/>
        <w:spacing w:before="198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用，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以《战略性新兴领域规划教材体系建议目录》(见教育部</w:t>
      </w:r>
      <w:r>
        <w:rPr>
          <w:rFonts w:ascii="FangSong" w:hAnsi="FangSong" w:eastAsia="FangSong" w:cs="FangSong"/>
          <w:sz w:val="31"/>
          <w:szCs w:val="31"/>
          <w:spacing w:val="1"/>
        </w:rPr>
        <w:t>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兴领域教材建设工作平台)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为基础，开展专业核心教材建设，</w:t>
      </w:r>
      <w:r>
        <w:rPr>
          <w:rFonts w:ascii="FangSong" w:hAnsi="FangSong" w:eastAsia="FangSong" w:cs="FangSong"/>
          <w:sz w:val="31"/>
          <w:szCs w:val="31"/>
          <w:spacing w:val="2"/>
        </w:rPr>
        <w:t>并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同</w:t>
      </w:r>
      <w:r>
        <w:rPr>
          <w:rFonts w:ascii="FangSong" w:hAnsi="FangSong" w:eastAsia="FangSong" w:cs="FangSong"/>
          <w:sz w:val="31"/>
          <w:szCs w:val="31"/>
          <w:spacing w:val="8"/>
        </w:rPr>
        <w:t>步开展核心课程、重点实践项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目、高水平教学团队建设工作，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形成优质教学资源库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p>
      <w:pPr>
        <w:ind w:left="27" w:right="3" w:firstLine="624"/>
        <w:spacing w:before="5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0"/>
        </w:rPr>
        <w:t>(</w:t>
      </w:r>
      <w:r>
        <w:rPr>
          <w:rFonts w:ascii="KaiTi" w:hAnsi="KaiTi" w:eastAsia="KaiTi" w:cs="KaiTi"/>
          <w:sz w:val="31"/>
          <w:szCs w:val="31"/>
          <w:spacing w:val="-7"/>
        </w:rPr>
        <w:t xml:space="preserve"> </w:t>
      </w:r>
      <w:r>
        <w:rPr>
          <w:rFonts w:ascii="KaiTi" w:hAnsi="KaiTi" w:eastAsia="KaiTi" w:cs="KaiTi"/>
          <w:sz w:val="31"/>
          <w:szCs w:val="31"/>
          <w:spacing w:val="-5"/>
        </w:rPr>
        <w:t>一</w:t>
      </w:r>
      <w:r>
        <w:rPr>
          <w:rFonts w:ascii="KaiTi" w:hAnsi="KaiTi" w:eastAsia="KaiTi" w:cs="KaiTi"/>
          <w:sz w:val="31"/>
          <w:szCs w:val="31"/>
          <w:spacing w:val="-5"/>
        </w:rPr>
        <w:t xml:space="preserve"> </w:t>
      </w:r>
      <w:r>
        <w:rPr>
          <w:rFonts w:ascii="KaiTi" w:hAnsi="KaiTi" w:eastAsia="KaiTi" w:cs="KaiTi"/>
          <w:sz w:val="31"/>
          <w:szCs w:val="31"/>
          <w:spacing w:val="-5"/>
        </w:rPr>
        <w:t>)</w:t>
      </w:r>
      <w:r>
        <w:rPr>
          <w:rFonts w:ascii="KaiTi" w:hAnsi="KaiTi" w:eastAsia="KaiTi" w:cs="KaiTi"/>
          <w:sz w:val="31"/>
          <w:szCs w:val="31"/>
          <w:spacing w:val="-5"/>
        </w:rPr>
        <w:t xml:space="preserve"> </w:t>
      </w:r>
      <w:r>
        <w:rPr>
          <w:rFonts w:ascii="KaiTi" w:hAnsi="KaiTi" w:eastAsia="KaiTi" w:cs="KaiTi"/>
          <w:sz w:val="31"/>
          <w:szCs w:val="31"/>
          <w:spacing w:val="-5"/>
        </w:rPr>
        <w:t>专业核心教材建设。</w:t>
      </w:r>
      <w:r>
        <w:rPr>
          <w:rFonts w:ascii="KaiTi" w:hAnsi="KaiTi" w:eastAsia="KaiTi" w:cs="KaiTi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每个领域建设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10—20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种核心教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材。要紧跟产业发展前沿，充分反映国际科研和生产最新进展</w:t>
      </w:r>
      <w:r>
        <w:rPr>
          <w:rFonts w:ascii="FangSong" w:hAnsi="FangSong" w:eastAsia="FangSong" w:cs="FangSong"/>
          <w:sz w:val="31"/>
          <w:szCs w:val="31"/>
          <w:spacing w:val="9"/>
        </w:rPr>
        <w:t>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要</w:t>
      </w:r>
      <w:r>
        <w:rPr>
          <w:rFonts w:ascii="FangSong" w:hAnsi="FangSong" w:eastAsia="FangSong" w:cs="FangSong"/>
          <w:sz w:val="31"/>
          <w:szCs w:val="31"/>
          <w:spacing w:val="5"/>
        </w:rPr>
        <w:t>从我国产业发展实际出发，充分反映产业发展的中国特色；要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注重理论教学与实践教学的</w:t>
      </w:r>
      <w:r>
        <w:rPr>
          <w:rFonts w:ascii="FangSong" w:hAnsi="FangSong" w:eastAsia="FangSong" w:cs="FangSong"/>
          <w:sz w:val="31"/>
          <w:szCs w:val="31"/>
        </w:rPr>
        <w:t>融合融汇，将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自主可控技术、真实产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业</w:t>
      </w:r>
      <w:r>
        <w:rPr>
          <w:rFonts w:ascii="FangSong" w:hAnsi="FangSong" w:eastAsia="FangSong" w:cs="FangSong"/>
          <w:sz w:val="31"/>
          <w:szCs w:val="31"/>
          <w:spacing w:val="5"/>
        </w:rPr>
        <w:t>案例、典型解决方案等融入教材；要坚持思想性、系统性、科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学</w:t>
      </w:r>
      <w:r>
        <w:rPr>
          <w:rFonts w:ascii="FangSong" w:hAnsi="FangSong" w:eastAsia="FangSong" w:cs="FangSong"/>
          <w:sz w:val="31"/>
          <w:szCs w:val="31"/>
          <w:spacing w:val="5"/>
        </w:rPr>
        <w:t>性、生动性、先进性相统一，做到结构严谨、逻辑性强、体系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完备。鼓励合理应用数字技术，探索数字</w:t>
      </w:r>
      <w:r>
        <w:rPr>
          <w:rFonts w:ascii="FangSong" w:hAnsi="FangSong" w:eastAsia="FangSong" w:cs="FangSong"/>
          <w:sz w:val="31"/>
          <w:szCs w:val="31"/>
        </w:rPr>
        <w:t>教材等新形态教材建设。</w:t>
      </w:r>
    </w:p>
    <w:p>
      <w:pPr>
        <w:ind w:left="28" w:right="144" w:firstLine="623"/>
        <w:spacing w:before="1" w:line="33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0"/>
        </w:rPr>
        <w:t>(</w:t>
      </w:r>
      <w:r>
        <w:rPr>
          <w:rFonts w:ascii="KaiTi" w:hAnsi="KaiTi" w:eastAsia="KaiTi" w:cs="KaiTi"/>
          <w:sz w:val="31"/>
          <w:szCs w:val="31"/>
          <w:spacing w:val="13"/>
        </w:rPr>
        <w:t>二</w:t>
      </w:r>
      <w:r>
        <w:rPr>
          <w:rFonts w:ascii="KaiTi" w:hAnsi="KaiTi" w:eastAsia="KaiTi" w:cs="KaiTi"/>
          <w:sz w:val="31"/>
          <w:szCs w:val="31"/>
          <w:spacing w:val="10"/>
        </w:rPr>
        <w:t>)核心课程建设。</w:t>
      </w:r>
      <w:r>
        <w:rPr>
          <w:rFonts w:ascii="FangSong" w:hAnsi="FangSong" w:eastAsia="FangSong" w:cs="FangSong"/>
          <w:sz w:val="31"/>
          <w:szCs w:val="31"/>
          <w:spacing w:val="10"/>
        </w:rPr>
        <w:t>每种核心教材配套建设不少于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5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节核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心</w:t>
      </w:r>
      <w:r>
        <w:rPr>
          <w:rFonts w:ascii="FangSong" w:hAnsi="FangSong" w:eastAsia="FangSong" w:cs="FangSong"/>
          <w:sz w:val="31"/>
          <w:szCs w:val="31"/>
          <w:spacing w:val="5"/>
        </w:rPr>
        <w:t>范例课，充分体现课程的“高阶性、创新性、挑战度”，内容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应</w:t>
      </w:r>
      <w:r>
        <w:rPr>
          <w:rFonts w:ascii="FangSong" w:hAnsi="FangSong" w:eastAsia="FangSong" w:cs="FangSong"/>
          <w:sz w:val="31"/>
          <w:szCs w:val="31"/>
          <w:spacing w:val="-2"/>
        </w:rPr>
        <w:t>包括但不限于概论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(导论)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课、核心知识讲解范例课、实验课、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习</w:t>
      </w:r>
      <w:r>
        <w:rPr>
          <w:rFonts w:ascii="FangSong" w:hAnsi="FangSong" w:eastAsia="FangSong" w:cs="FangSong"/>
          <w:sz w:val="31"/>
          <w:szCs w:val="31"/>
          <w:spacing w:val="5"/>
        </w:rPr>
        <w:t>题讲解课、讨论课等，形式可以是视频课、虚拟仿真实验课等</w:t>
      </w:r>
    </w:p>
    <w:p>
      <w:pPr>
        <w:sectPr>
          <w:footerReference w:type="default" r:id="rId3"/>
          <w:pgSz w:w="11905" w:h="16837"/>
          <w:pgMar w:top="1431" w:right="1282" w:bottom="1925" w:left="1523" w:header="0" w:footer="1674" w:gutter="0"/>
        </w:sectPr>
        <w:rPr/>
      </w:pPr>
    </w:p>
    <w:p>
      <w:pPr>
        <w:spacing w:line="461" w:lineRule="auto"/>
        <w:rPr>
          <w:rFonts w:ascii="Arial"/>
          <w:sz w:val="21"/>
        </w:rPr>
      </w:pPr>
      <w:r/>
    </w:p>
    <w:p>
      <w:pPr>
        <w:ind w:left="2"/>
        <w:spacing w:before="101" w:line="21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各</w:t>
      </w:r>
      <w:r>
        <w:rPr>
          <w:rFonts w:ascii="FangSong" w:hAnsi="FangSong" w:eastAsia="FangSong" w:cs="FangSong"/>
          <w:sz w:val="31"/>
          <w:szCs w:val="31"/>
          <w:spacing w:val="5"/>
        </w:rPr>
        <w:t>种灵活方式。</w:t>
      </w:r>
    </w:p>
    <w:p>
      <w:pPr>
        <w:ind w:right="76" w:firstLine="623"/>
        <w:spacing w:before="20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(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三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)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重点实践项目建设。</w:t>
      </w:r>
      <w:r>
        <w:rPr>
          <w:rFonts w:ascii="FangSong" w:hAnsi="FangSong" w:eastAsia="FangSong" w:cs="FangSong"/>
          <w:sz w:val="31"/>
          <w:szCs w:val="31"/>
          <w:spacing w:val="-1"/>
        </w:rPr>
        <w:t>紧密</w:t>
      </w:r>
      <w:r>
        <w:rPr>
          <w:rFonts w:ascii="FangSong" w:hAnsi="FangSong" w:eastAsia="FangSong" w:cs="FangSong"/>
          <w:sz w:val="31"/>
          <w:szCs w:val="31"/>
        </w:rPr>
        <w:t>结合专业特色和行业产业发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展</w:t>
      </w:r>
      <w:r>
        <w:rPr>
          <w:rFonts w:ascii="FangSong" w:hAnsi="FangSong" w:eastAsia="FangSong" w:cs="FangSong"/>
          <w:sz w:val="31"/>
          <w:szCs w:val="31"/>
          <w:spacing w:val="5"/>
        </w:rPr>
        <w:t>最新成果，紧密结合学校定位和人才培养特点，每本核心教材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配套建设不</w:t>
      </w:r>
      <w:r>
        <w:rPr>
          <w:rFonts w:ascii="FangSong" w:hAnsi="FangSong" w:eastAsia="FangSong" w:cs="FangSong"/>
          <w:sz w:val="31"/>
          <w:szCs w:val="31"/>
          <w:spacing w:val="5"/>
        </w:rPr>
        <w:t>少</w:t>
      </w:r>
      <w:r>
        <w:rPr>
          <w:rFonts w:ascii="FangSong" w:hAnsi="FangSong" w:eastAsia="FangSong" w:cs="FangSong"/>
          <w:sz w:val="31"/>
          <w:szCs w:val="31"/>
          <w:spacing w:val="4"/>
        </w:rPr>
        <w:t>于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10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项的重点校内实验和校外综合实践项目。校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内</w:t>
      </w:r>
      <w:r>
        <w:rPr>
          <w:rFonts w:ascii="FangSong" w:hAnsi="FangSong" w:eastAsia="FangSong" w:cs="FangSong"/>
          <w:sz w:val="31"/>
          <w:szCs w:val="31"/>
          <w:spacing w:val="5"/>
        </w:rPr>
        <w:t>实验要坚持“能实不虚、虚实结合”，开发具有典型性的演示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型</w:t>
      </w:r>
      <w:r>
        <w:rPr>
          <w:rFonts w:ascii="FangSong" w:hAnsi="FangSong" w:eastAsia="FangSong" w:cs="FangSong"/>
          <w:sz w:val="31"/>
          <w:szCs w:val="31"/>
          <w:spacing w:val="5"/>
        </w:rPr>
        <w:t>、验证型、综合型、创新型的实验室实验项目和虚拟仿真实验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项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目。校外综合实践项目要</w:t>
      </w:r>
      <w:r>
        <w:rPr>
          <w:rFonts w:ascii="FangSong" w:hAnsi="FangSong" w:eastAsia="FangSong" w:cs="FangSong"/>
          <w:sz w:val="31"/>
          <w:szCs w:val="31"/>
        </w:rPr>
        <w:t>突出科教融汇、产教融合，及时把新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方</w:t>
      </w:r>
      <w:r>
        <w:rPr>
          <w:rFonts w:ascii="FangSong" w:hAnsi="FangSong" w:eastAsia="FangSong" w:cs="FangSong"/>
          <w:sz w:val="31"/>
          <w:szCs w:val="31"/>
          <w:spacing w:val="5"/>
        </w:rPr>
        <w:t>法、新技术、新工艺、新标准引入教育教学实践，鼓励开展探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索</w:t>
      </w:r>
      <w:r>
        <w:rPr>
          <w:rFonts w:ascii="FangSong" w:hAnsi="FangSong" w:eastAsia="FangSong" w:cs="FangSong"/>
          <w:sz w:val="31"/>
          <w:szCs w:val="31"/>
          <w:spacing w:val="5"/>
        </w:rPr>
        <w:t>性科学实践项目，调动学生积极性和主动性，激发学生学习兴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趣和潜能，增强学生创新创造能力。</w:t>
      </w:r>
    </w:p>
    <w:p>
      <w:pPr>
        <w:ind w:firstLine="624"/>
        <w:spacing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(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四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)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高水平核心师资团队建设</w:t>
      </w:r>
      <w:r>
        <w:rPr>
          <w:rFonts w:ascii="KaiTi" w:hAnsi="KaiTi" w:eastAsia="KaiTi" w:cs="KaiTi"/>
          <w:sz w:val="31"/>
          <w:szCs w:val="31"/>
        </w:rPr>
        <w:t>。</w:t>
      </w:r>
      <w:r>
        <w:rPr>
          <w:rFonts w:ascii="FangSong" w:hAnsi="FangSong" w:eastAsia="FangSong" w:cs="FangSong"/>
          <w:sz w:val="31"/>
          <w:szCs w:val="31"/>
        </w:rPr>
        <w:t>以建设一流核心课程、教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材</w:t>
      </w:r>
      <w:r>
        <w:rPr>
          <w:rFonts w:ascii="FangSong" w:hAnsi="FangSong" w:eastAsia="FangSong" w:cs="FangSong"/>
          <w:sz w:val="31"/>
          <w:szCs w:val="31"/>
          <w:spacing w:val="5"/>
        </w:rPr>
        <w:t>、实践项目等为载体，积极组建国内外顶尖学者领衔、高水平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师</w:t>
      </w:r>
      <w:r>
        <w:rPr>
          <w:rFonts w:ascii="FangSong" w:hAnsi="FangSong" w:eastAsia="FangSong" w:cs="FangSong"/>
          <w:sz w:val="31"/>
          <w:szCs w:val="31"/>
          <w:spacing w:val="5"/>
        </w:rPr>
        <w:t>资构成的教学团队。要依托虚拟教研室等载体，积极开展名师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示</w:t>
      </w:r>
      <w:r>
        <w:rPr>
          <w:rFonts w:ascii="FangSong" w:hAnsi="FangSong" w:eastAsia="FangSong" w:cs="FangSong"/>
          <w:sz w:val="31"/>
          <w:szCs w:val="31"/>
          <w:spacing w:val="5"/>
        </w:rPr>
        <w:t>范讲解、教师培训、交流研讨等活动，提升相关专业教师的教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育</w:t>
      </w:r>
      <w:r>
        <w:rPr>
          <w:rFonts w:ascii="FangSong" w:hAnsi="FangSong" w:eastAsia="FangSong" w:cs="FangSong"/>
          <w:sz w:val="31"/>
          <w:szCs w:val="31"/>
          <w:spacing w:val="2"/>
        </w:rPr>
        <w:t>教学能力，每年开展各类活动不少于10次，参与教师不少于500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人</w:t>
      </w:r>
      <w:r>
        <w:rPr>
          <w:rFonts w:ascii="FangSong" w:hAnsi="FangSong" w:eastAsia="FangSong" w:cs="FangSong"/>
          <w:sz w:val="31"/>
          <w:szCs w:val="31"/>
        </w:rPr>
        <w:t>次。</w:t>
      </w:r>
    </w:p>
    <w:p>
      <w:pPr>
        <w:ind w:left="651"/>
        <w:spacing w:line="219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四</w:t>
      </w:r>
      <w:r>
        <w:rPr>
          <w:rFonts w:ascii="SimHei" w:hAnsi="SimHei" w:eastAsia="SimHei" w:cs="SimHei"/>
          <w:sz w:val="31"/>
          <w:szCs w:val="31"/>
          <w:spacing w:val="7"/>
        </w:rPr>
        <w:t>、建设团队与建设方案</w:t>
      </w:r>
    </w:p>
    <w:p>
      <w:pPr>
        <w:ind w:left="32" w:right="76" w:firstLine="608"/>
        <w:spacing w:before="191" w:line="33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请各中央</w:t>
      </w:r>
      <w:r>
        <w:rPr>
          <w:rFonts w:ascii="FangSong" w:hAnsi="FangSong" w:eastAsia="FangSong" w:cs="FangSong"/>
          <w:sz w:val="31"/>
          <w:szCs w:val="31"/>
          <w:spacing w:val="5"/>
        </w:rPr>
        <w:t>部</w:t>
      </w:r>
      <w:r>
        <w:rPr>
          <w:rFonts w:ascii="FangSong" w:hAnsi="FangSong" w:eastAsia="FangSong" w:cs="FangSong"/>
          <w:sz w:val="31"/>
          <w:szCs w:val="31"/>
          <w:spacing w:val="4"/>
        </w:rPr>
        <w:t>门所属高校、部省合建高校和各省级教育行政部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门推</w:t>
      </w:r>
      <w:r>
        <w:rPr>
          <w:rFonts w:ascii="FangSong" w:hAnsi="FangSong" w:eastAsia="FangSong" w:cs="FangSong"/>
          <w:sz w:val="31"/>
          <w:szCs w:val="31"/>
          <w:spacing w:val="6"/>
        </w:rPr>
        <w:t>荐相关战略性新兴领域教材建设团队。</w:t>
      </w:r>
    </w:p>
    <w:p>
      <w:pPr>
        <w:ind w:right="76" w:firstLine="624"/>
        <w:spacing w:before="1" w:line="33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5"/>
        </w:rPr>
        <w:t>(</w:t>
      </w:r>
      <w:r>
        <w:rPr>
          <w:rFonts w:ascii="KaiTi" w:hAnsi="KaiTi" w:eastAsia="KaiTi" w:cs="KaiTi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一</w:t>
      </w:r>
      <w:r>
        <w:rPr>
          <w:rFonts w:ascii="KaiTi" w:hAnsi="KaiTi" w:eastAsia="KaiTi" w:cs="KaiTi"/>
          <w:sz w:val="31"/>
          <w:szCs w:val="31"/>
          <w:spacing w:val="5"/>
        </w:rPr>
        <w:t xml:space="preserve"> </w:t>
      </w:r>
      <w:r>
        <w:rPr>
          <w:rFonts w:ascii="KaiTi" w:hAnsi="KaiTi" w:eastAsia="KaiTi" w:cs="KaiTi"/>
          <w:sz w:val="31"/>
          <w:szCs w:val="31"/>
          <w:spacing w:val="5"/>
        </w:rPr>
        <w:t>)推荐建设团队并报送建设方案。</w:t>
      </w:r>
      <w:r>
        <w:rPr>
          <w:rFonts w:ascii="FangSong" w:hAnsi="FangSong" w:eastAsia="FangSong" w:cs="FangSong"/>
          <w:sz w:val="31"/>
          <w:szCs w:val="31"/>
          <w:spacing w:val="5"/>
        </w:rPr>
        <w:t>请各中央部门所属</w:t>
      </w:r>
      <w:r>
        <w:rPr>
          <w:rFonts w:ascii="FangSong" w:hAnsi="FangSong" w:eastAsia="FangSong" w:cs="FangSong"/>
          <w:sz w:val="31"/>
          <w:szCs w:val="31"/>
          <w:spacing w:val="3"/>
        </w:rPr>
        <w:t>高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校</w:t>
      </w:r>
      <w:r>
        <w:rPr>
          <w:rFonts w:ascii="FangSong" w:hAnsi="FangSong" w:eastAsia="FangSong" w:cs="FangSong"/>
          <w:sz w:val="31"/>
          <w:szCs w:val="31"/>
          <w:spacing w:val="5"/>
        </w:rPr>
        <w:t>、部省合建高校和各省级教育行政部门基于自愿原则、结合优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1"/>
        </w:rPr>
        <w:t>势</w:t>
      </w:r>
      <w:r>
        <w:rPr>
          <w:rFonts w:ascii="FangSong" w:hAnsi="FangSong" w:eastAsia="FangSong" w:cs="FangSong"/>
          <w:sz w:val="31"/>
          <w:szCs w:val="31"/>
          <w:spacing w:val="-12"/>
        </w:rPr>
        <w:t>领域，于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2023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年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3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月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27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日—4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月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7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日通过教育部新兴领域教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材建设工作平台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(</w:t>
      </w:r>
      <w:r>
        <w:rPr>
          <w:rFonts w:ascii="FangSong" w:hAnsi="FangSong" w:eastAsia="FangSong" w:cs="FangSong"/>
          <w:sz w:val="31"/>
          <w:szCs w:val="31"/>
          <w:spacing w:val="-3"/>
        </w:rPr>
        <w:t>http</w:t>
      </w:r>
      <w:r>
        <w:rPr>
          <w:rFonts w:ascii="FangSong" w:hAnsi="FangSong" w:eastAsia="FangSong" w:cs="FangSong"/>
          <w:sz w:val="31"/>
          <w:szCs w:val="31"/>
          <w:spacing w:val="-5"/>
        </w:rPr>
        <w:t>:</w:t>
      </w:r>
      <w:r>
        <w:rPr>
          <w:rFonts w:ascii="FangSong" w:hAnsi="FangSong" w:eastAsia="FangSong" w:cs="FangSong"/>
          <w:sz w:val="31"/>
          <w:szCs w:val="31"/>
          <w:spacing w:val="-3"/>
        </w:rPr>
        <w:t>//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123.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57.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133.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142:8360)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向教育部推</w:t>
      </w:r>
    </w:p>
    <w:p>
      <w:pPr>
        <w:sectPr>
          <w:footerReference w:type="default" r:id="rId4"/>
          <w:pgSz w:w="11905" w:h="16837"/>
          <w:pgMar w:top="1431" w:right="1454" w:bottom="1925" w:left="1551" w:header="0" w:footer="1675" w:gutter="0"/>
        </w:sectPr>
        <w:rPr/>
      </w:pPr>
    </w:p>
    <w:p>
      <w:pPr>
        <w:spacing w:line="460" w:lineRule="auto"/>
        <w:rPr>
          <w:rFonts w:ascii="Arial"/>
          <w:sz w:val="21"/>
        </w:rPr>
      </w:pPr>
      <w:r/>
    </w:p>
    <w:p>
      <w:pPr>
        <w:ind w:left="28"/>
        <w:spacing w:before="10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0"/>
        </w:rPr>
        <w:t>荐</w:t>
      </w:r>
      <w:r>
        <w:rPr>
          <w:rFonts w:ascii="FangSong" w:hAnsi="FangSong" w:eastAsia="FangSong" w:cs="FangSong"/>
          <w:sz w:val="31"/>
          <w:szCs w:val="31"/>
          <w:spacing w:val="22"/>
        </w:rPr>
        <w:t>有</w:t>
      </w:r>
      <w:r>
        <w:rPr>
          <w:rFonts w:ascii="FangSong" w:hAnsi="FangSong" w:eastAsia="FangSong" w:cs="FangSong"/>
          <w:sz w:val="31"/>
          <w:szCs w:val="31"/>
          <w:spacing w:val="15"/>
        </w:rPr>
        <w:t>关新兴领域教材建设团队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(每支团队应包括一所牵头高校、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若干参与高校以及企业、出版</w:t>
      </w:r>
      <w:r>
        <w:rPr>
          <w:rFonts w:ascii="FangSong" w:hAnsi="FangSong" w:eastAsia="FangSong" w:cs="FangSong"/>
          <w:sz w:val="31"/>
          <w:szCs w:val="31"/>
        </w:rPr>
        <w:t>社相关人员)，并报送建设方案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(方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9"/>
        </w:rPr>
        <w:t>案</w:t>
      </w:r>
      <w:r>
        <w:rPr>
          <w:rFonts w:ascii="FangSong" w:hAnsi="FangSong" w:eastAsia="FangSong" w:cs="FangSong"/>
          <w:sz w:val="31"/>
          <w:szCs w:val="31"/>
          <w:spacing w:val="6"/>
        </w:rPr>
        <w:t>应含建设团队、建设任务、合作单位、分工及进度安排等)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。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"/>
        </w:rPr>
        <w:t>每所中央部门所属高校可推荐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1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支教材建设团队，各省级教育行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"/>
        </w:rPr>
        <w:t>政部门可推荐不超过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2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支</w:t>
      </w:r>
      <w:r>
        <w:rPr>
          <w:rFonts w:ascii="FangSong" w:hAnsi="FangSong" w:eastAsia="FangSong" w:cs="FangSong"/>
          <w:sz w:val="31"/>
          <w:szCs w:val="31"/>
        </w:rPr>
        <w:t>教材建设团队。各省份推荐的团队牵头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6"/>
        </w:rPr>
        <w:t>高</w:t>
      </w:r>
      <w:r>
        <w:rPr>
          <w:rFonts w:ascii="FangSong" w:hAnsi="FangSong" w:eastAsia="FangSong" w:cs="FangSong"/>
          <w:sz w:val="31"/>
          <w:szCs w:val="31"/>
          <w:spacing w:val="5"/>
        </w:rPr>
        <w:t>校应为地方高校，鼓励现代产业学院建设高校牵头开展区域战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7"/>
        </w:rPr>
        <w:t>略</w:t>
      </w:r>
      <w:r>
        <w:rPr>
          <w:rFonts w:ascii="FangSong" w:hAnsi="FangSong" w:eastAsia="FangSong" w:cs="FangSong"/>
          <w:sz w:val="31"/>
          <w:szCs w:val="31"/>
          <w:spacing w:val="5"/>
        </w:rPr>
        <w:t>性新兴产业领域的教材建设。优先支持结题验收结果为“优秀”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的“</w:t>
      </w:r>
      <w:r>
        <w:rPr>
          <w:rFonts w:ascii="FangSong" w:hAnsi="FangSong" w:eastAsia="FangSong" w:cs="FangSong"/>
          <w:sz w:val="31"/>
          <w:szCs w:val="31"/>
          <w:spacing w:val="-6"/>
        </w:rPr>
        <w:t>新</w:t>
      </w:r>
      <w:r>
        <w:rPr>
          <w:rFonts w:ascii="FangSong" w:hAnsi="FangSong" w:eastAsia="FangSong" w:cs="FangSong"/>
          <w:sz w:val="31"/>
          <w:szCs w:val="31"/>
          <w:spacing w:val="-4"/>
        </w:rPr>
        <w:t>兴领域教材研究与实践项目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”牵头开展相关领域教材建设，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申</w:t>
      </w:r>
      <w:r>
        <w:rPr>
          <w:rFonts w:ascii="FangSong" w:hAnsi="FangSong" w:eastAsia="FangSong" w:cs="FangSong"/>
          <w:sz w:val="31"/>
          <w:szCs w:val="31"/>
          <w:spacing w:val="10"/>
        </w:rPr>
        <w:t>报</w:t>
      </w:r>
      <w:r>
        <w:rPr>
          <w:rFonts w:ascii="FangSong" w:hAnsi="FangSong" w:eastAsia="FangSong" w:cs="FangSong"/>
          <w:sz w:val="31"/>
          <w:szCs w:val="31"/>
          <w:spacing w:val="7"/>
        </w:rPr>
        <w:t>时不占所在高校推荐名额。</w:t>
      </w:r>
    </w:p>
    <w:p>
      <w:pPr>
        <w:ind w:left="27" w:right="226" w:firstLine="624"/>
        <w:spacing w:before="3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6"/>
        </w:rPr>
        <w:t>(</w:t>
      </w:r>
      <w:r>
        <w:rPr>
          <w:rFonts w:ascii="KaiTi" w:hAnsi="KaiTi" w:eastAsia="KaiTi" w:cs="KaiTi"/>
          <w:sz w:val="31"/>
          <w:szCs w:val="31"/>
          <w:spacing w:val="10"/>
        </w:rPr>
        <w:t>二</w:t>
      </w:r>
      <w:r>
        <w:rPr>
          <w:rFonts w:ascii="KaiTi" w:hAnsi="KaiTi" w:eastAsia="KaiTi" w:cs="KaiTi"/>
          <w:sz w:val="31"/>
          <w:szCs w:val="31"/>
          <w:spacing w:val="8"/>
        </w:rPr>
        <w:t>)确定建设团队和建设方案。</w:t>
      </w:r>
      <w:r>
        <w:rPr>
          <w:rFonts w:ascii="FangSong" w:hAnsi="FangSong" w:eastAsia="FangSong" w:cs="FangSong"/>
          <w:sz w:val="31"/>
          <w:szCs w:val="31"/>
          <w:spacing w:val="8"/>
        </w:rPr>
        <w:t>我部将根据高校申报情况，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组</w:t>
      </w:r>
      <w:r>
        <w:rPr>
          <w:rFonts w:ascii="FangSong" w:hAnsi="FangSong" w:eastAsia="FangSong" w:cs="FangSong"/>
          <w:sz w:val="31"/>
          <w:szCs w:val="31"/>
          <w:spacing w:val="5"/>
        </w:rPr>
        <w:t>织有关专家论证并确定教材建设团队和建设方案。原则上每个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新兴</w:t>
      </w:r>
      <w:r>
        <w:rPr>
          <w:rFonts w:ascii="FangSong" w:hAnsi="FangSong" w:eastAsia="FangSong" w:cs="FangSong"/>
          <w:sz w:val="31"/>
          <w:szCs w:val="31"/>
          <w:spacing w:val="-1"/>
        </w:rPr>
        <w:t>领域遴选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2—3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支教材建设团队。</w:t>
      </w:r>
    </w:p>
    <w:p>
      <w:pPr>
        <w:ind w:left="668"/>
        <w:spacing w:before="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五</w:t>
      </w:r>
      <w:r>
        <w:rPr>
          <w:rFonts w:ascii="SimHei" w:hAnsi="SimHei" w:eastAsia="SimHei" w:cs="SimHei"/>
          <w:sz w:val="31"/>
          <w:szCs w:val="31"/>
          <w:spacing w:val="6"/>
        </w:rPr>
        <w:t>、其他要求</w:t>
      </w:r>
    </w:p>
    <w:p>
      <w:pPr>
        <w:ind w:left="27" w:right="314" w:firstLine="644"/>
        <w:spacing w:before="177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0"/>
        </w:rPr>
        <w:t>专</w:t>
      </w:r>
      <w:r>
        <w:rPr>
          <w:rFonts w:ascii="FangSong" w:hAnsi="FangSong" w:eastAsia="FangSong" w:cs="FangSong"/>
          <w:sz w:val="31"/>
          <w:szCs w:val="31"/>
          <w:spacing w:val="17"/>
        </w:rPr>
        <w:t>业核心教材编写应遵循教材建设规律和高等教育教学规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律</w:t>
      </w:r>
      <w:r>
        <w:rPr>
          <w:rFonts w:ascii="FangSong" w:hAnsi="FangSong" w:eastAsia="FangSong" w:cs="FangSong"/>
          <w:sz w:val="31"/>
          <w:szCs w:val="31"/>
          <w:spacing w:val="5"/>
        </w:rPr>
        <w:t>、人才成长规律，严格执行《普通高等学校教材管理办法》等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规</w:t>
      </w:r>
      <w:r>
        <w:rPr>
          <w:rFonts w:ascii="FangSong" w:hAnsi="FangSong" w:eastAsia="FangSong" w:cs="FangSong"/>
          <w:sz w:val="31"/>
          <w:szCs w:val="31"/>
          <w:spacing w:val="8"/>
        </w:rPr>
        <w:t>定，严格教材编写、选用、退出机制。</w:t>
      </w:r>
    </w:p>
    <w:p>
      <w:pPr>
        <w:ind w:right="66" w:firstLine="652"/>
        <w:spacing w:before="10" w:line="33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0"/>
        </w:rPr>
        <w:t>(</w:t>
      </w:r>
      <w:r>
        <w:rPr>
          <w:rFonts w:ascii="KaiTi" w:hAnsi="KaiTi" w:eastAsia="KaiTi" w:cs="KaiTi"/>
          <w:sz w:val="31"/>
          <w:szCs w:val="31"/>
          <w:spacing w:val="13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一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)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编制专业核心教材知识图谱。</w:t>
      </w:r>
      <w:r>
        <w:rPr>
          <w:rFonts w:ascii="FangSong" w:hAnsi="FangSong" w:eastAsia="FangSong" w:cs="FangSong"/>
          <w:sz w:val="31"/>
          <w:szCs w:val="31"/>
          <w:spacing w:val="10"/>
        </w:rPr>
        <w:t>教材建设团队需参照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“新兴领域教材研究与实践项目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”研究报告，进一步梳理有关新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兴领域的核心课程及相应课程的知识领域、知识单元、知识点</w:t>
      </w:r>
      <w:r>
        <w:rPr>
          <w:rFonts w:ascii="FangSong" w:hAnsi="FangSong" w:eastAsia="FangSong" w:cs="FangSong"/>
          <w:sz w:val="31"/>
          <w:szCs w:val="31"/>
          <w:spacing w:val="13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构</w:t>
      </w:r>
      <w:r>
        <w:rPr>
          <w:rFonts w:ascii="FangSong" w:hAnsi="FangSong" w:eastAsia="FangSong" w:cs="FangSong"/>
          <w:sz w:val="31"/>
          <w:szCs w:val="31"/>
          <w:spacing w:val="17"/>
        </w:rPr>
        <w:t>建</w:t>
      </w:r>
      <w:r>
        <w:rPr>
          <w:rFonts w:ascii="FangSong" w:hAnsi="FangSong" w:eastAsia="FangSong" w:cs="FangSong"/>
          <w:sz w:val="31"/>
          <w:szCs w:val="31"/>
          <w:spacing w:val="11"/>
        </w:rPr>
        <w:t>各门核心课程的知识图谱(可参考教育部前期开展的重点领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域教学资源建设项目成果)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。要充分借鉴国际国内一流高校新</w:t>
      </w:r>
      <w:r>
        <w:rPr>
          <w:rFonts w:ascii="FangSong" w:hAnsi="FangSong" w:eastAsia="FangSong" w:cs="FangSong"/>
          <w:sz w:val="31"/>
          <w:szCs w:val="31"/>
          <w:spacing w:val="2"/>
        </w:rPr>
        <w:t>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领</w:t>
      </w:r>
      <w:r>
        <w:rPr>
          <w:rFonts w:ascii="FangSong" w:hAnsi="FangSong" w:eastAsia="FangSong" w:cs="FangSong"/>
          <w:sz w:val="31"/>
          <w:szCs w:val="31"/>
          <w:spacing w:val="6"/>
        </w:rPr>
        <w:t>域教育理念、课程设置及教学内容，广泛吸纳各方专家及产业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界意见，在此基础上编制新兴领域核心课程知识体系白皮书，</w:t>
      </w:r>
      <w:r>
        <w:rPr>
          <w:rFonts w:ascii="FangSong" w:hAnsi="FangSong" w:eastAsia="FangSong" w:cs="FangSong"/>
          <w:sz w:val="31"/>
          <w:szCs w:val="31"/>
          <w:spacing w:val="4"/>
        </w:rPr>
        <w:t>为</w:t>
      </w:r>
    </w:p>
    <w:p>
      <w:pPr>
        <w:sectPr>
          <w:footerReference w:type="default" r:id="rId5"/>
          <w:pgSz w:w="11905" w:h="16837"/>
          <w:pgMar w:top="1431" w:right="1215" w:bottom="1925" w:left="1523" w:header="0" w:footer="1674" w:gutter="0"/>
        </w:sectPr>
        <w:rPr/>
      </w:pPr>
    </w:p>
    <w:p>
      <w:pPr>
        <w:spacing w:line="458" w:lineRule="auto"/>
        <w:rPr>
          <w:rFonts w:ascii="Arial"/>
          <w:sz w:val="21"/>
        </w:rPr>
      </w:pPr>
      <w:r/>
    </w:p>
    <w:p>
      <w:pPr>
        <w:ind w:left="28"/>
        <w:spacing w:before="101" w:line="21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开展</w:t>
      </w:r>
      <w:r>
        <w:rPr>
          <w:rFonts w:ascii="FangSong" w:hAnsi="FangSong" w:eastAsia="FangSong" w:cs="FangSong"/>
          <w:sz w:val="31"/>
          <w:szCs w:val="31"/>
          <w:spacing w:val="8"/>
        </w:rPr>
        <w:t>新兴领域核心课程教学及教材编写提供有效参考。</w:t>
      </w:r>
    </w:p>
    <w:p>
      <w:pPr>
        <w:ind w:left="96" w:right="68" w:firstLine="556"/>
        <w:spacing w:before="195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"/>
        </w:rPr>
        <w:t>(二)</w:t>
      </w:r>
      <w:r>
        <w:rPr>
          <w:rFonts w:ascii="KaiTi" w:hAnsi="KaiTi" w:eastAsia="KaiTi" w:cs="KaiTi"/>
          <w:sz w:val="31"/>
          <w:szCs w:val="31"/>
          <w:spacing w:val="2"/>
        </w:rPr>
        <w:t xml:space="preserve"> </w:t>
      </w:r>
      <w:r>
        <w:rPr>
          <w:rFonts w:ascii="KaiTi" w:hAnsi="KaiTi" w:eastAsia="KaiTi" w:cs="KaiTi"/>
          <w:sz w:val="31"/>
          <w:szCs w:val="31"/>
          <w:spacing w:val="2"/>
        </w:rPr>
        <w:t>建设进度要求。</w:t>
      </w:r>
      <w:r>
        <w:rPr>
          <w:rFonts w:ascii="FangSong" w:hAnsi="FangSong" w:eastAsia="FangSong" w:cs="FangSong"/>
          <w:sz w:val="31"/>
          <w:szCs w:val="31"/>
          <w:spacing w:val="2"/>
        </w:rPr>
        <w:t>相关建设团队应于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2023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年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12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月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31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日前完成专业核心教</w:t>
      </w:r>
      <w:r>
        <w:rPr>
          <w:rFonts w:ascii="FangSong" w:hAnsi="FangSong" w:eastAsia="FangSong" w:cs="FangSong"/>
          <w:sz w:val="31"/>
          <w:szCs w:val="31"/>
          <w:spacing w:val="2"/>
        </w:rPr>
        <w:t>材编写、知识图谱和相关配套教学资源建设</w:t>
      </w:r>
    </w:p>
    <w:p>
      <w:pPr>
        <w:ind w:left="27" w:right="68" w:firstLine="12"/>
        <w:spacing w:before="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等工作，</w:t>
      </w:r>
      <w:r>
        <w:rPr>
          <w:rFonts w:ascii="FangSong" w:hAnsi="FangSong" w:eastAsia="FangSong" w:cs="FangSong"/>
          <w:sz w:val="31"/>
          <w:szCs w:val="31"/>
          <w:spacing w:val="6"/>
        </w:rPr>
        <w:t>并</w:t>
      </w:r>
      <w:r>
        <w:rPr>
          <w:rFonts w:ascii="FangSong" w:hAnsi="FangSong" w:eastAsia="FangSong" w:cs="FangSong"/>
          <w:sz w:val="31"/>
          <w:szCs w:val="31"/>
          <w:spacing w:val="4"/>
        </w:rPr>
        <w:t>按《普通高等学校教材管理办法》有关要求完成对教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材的</w:t>
      </w:r>
      <w:r>
        <w:rPr>
          <w:rFonts w:ascii="FangSong" w:hAnsi="FangSong" w:eastAsia="FangSong" w:cs="FangSong"/>
          <w:sz w:val="31"/>
          <w:szCs w:val="31"/>
          <w:spacing w:val="1"/>
        </w:rPr>
        <w:t>审读和审核，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由相关出版社出具证明材料。</w:t>
      </w:r>
    </w:p>
    <w:p>
      <w:pPr>
        <w:ind w:left="669"/>
        <w:spacing w:before="1" w:line="219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六</w:t>
      </w:r>
      <w:r>
        <w:rPr>
          <w:rFonts w:ascii="SimHei" w:hAnsi="SimHei" w:eastAsia="SimHei" w:cs="SimHei"/>
          <w:sz w:val="31"/>
          <w:szCs w:val="31"/>
          <w:spacing w:val="6"/>
        </w:rPr>
        <w:t>、政策支持</w:t>
      </w:r>
    </w:p>
    <w:p>
      <w:pPr>
        <w:ind w:left="28" w:right="68" w:firstLine="623"/>
        <w:spacing w:before="188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(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一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)</w:t>
      </w:r>
      <w:r>
        <w:rPr>
          <w:rFonts w:ascii="KaiTi" w:hAnsi="KaiTi" w:eastAsia="KaiTi" w:cs="KaiT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完善团队建设。</w:t>
      </w:r>
      <w:r>
        <w:rPr>
          <w:rFonts w:ascii="FangSong" w:hAnsi="FangSong" w:eastAsia="FangSong" w:cs="FangSong"/>
          <w:sz w:val="31"/>
          <w:szCs w:val="31"/>
          <w:spacing w:val="-1"/>
        </w:rPr>
        <w:t>对通过论</w:t>
      </w:r>
      <w:r>
        <w:rPr>
          <w:rFonts w:ascii="FangSong" w:hAnsi="FangSong" w:eastAsia="FangSong" w:cs="FangSong"/>
          <w:sz w:val="31"/>
          <w:szCs w:val="31"/>
        </w:rPr>
        <w:t>证的教材建设团队，我部将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根</w:t>
      </w:r>
      <w:r>
        <w:rPr>
          <w:rFonts w:ascii="FangSong" w:hAnsi="FangSong" w:eastAsia="FangSong" w:cs="FangSong"/>
          <w:sz w:val="31"/>
          <w:szCs w:val="31"/>
          <w:spacing w:val="5"/>
        </w:rPr>
        <w:t>据专家意见建议，协助完善教材建设团队，支持如期完成建设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任务</w:t>
      </w:r>
      <w:r>
        <w:rPr>
          <w:rFonts w:ascii="FangSong" w:hAnsi="FangSong" w:eastAsia="FangSong" w:cs="FangSong"/>
          <w:sz w:val="31"/>
          <w:szCs w:val="31"/>
        </w:rPr>
        <w:t>。</w:t>
      </w:r>
    </w:p>
    <w:p>
      <w:pPr>
        <w:ind w:left="28" w:right="68" w:firstLine="623"/>
        <w:spacing w:before="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1"/>
        </w:rPr>
        <w:t>(二)</w:t>
      </w:r>
      <w:r>
        <w:rPr>
          <w:rFonts w:ascii="KaiTi" w:hAnsi="KaiTi" w:eastAsia="KaiTi" w:cs="KaiTi"/>
          <w:sz w:val="31"/>
          <w:szCs w:val="31"/>
          <w:spacing w:val="11"/>
        </w:rPr>
        <w:t xml:space="preserve"> </w:t>
      </w:r>
      <w:r>
        <w:rPr>
          <w:rFonts w:ascii="KaiTi" w:hAnsi="KaiTi" w:eastAsia="KaiTi" w:cs="KaiTi"/>
          <w:sz w:val="31"/>
          <w:szCs w:val="31"/>
          <w:spacing w:val="11"/>
        </w:rPr>
        <w:t>技术条件保障。</w:t>
      </w:r>
      <w:r>
        <w:rPr>
          <w:rFonts w:ascii="FangSong" w:hAnsi="FangSong" w:eastAsia="FangSong" w:cs="FangSong"/>
          <w:sz w:val="31"/>
          <w:szCs w:val="31"/>
          <w:spacing w:val="11"/>
        </w:rPr>
        <w:t>我部将根据工作需要，建设相应技</w:t>
      </w:r>
      <w:r>
        <w:rPr>
          <w:rFonts w:ascii="FangSong" w:hAnsi="FangSong" w:eastAsia="FangSong" w:cs="FangSong"/>
          <w:sz w:val="31"/>
          <w:szCs w:val="31"/>
          <w:spacing w:val="7"/>
        </w:rPr>
        <w:t>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平</w:t>
      </w:r>
      <w:r>
        <w:rPr>
          <w:rFonts w:ascii="FangSong" w:hAnsi="FangSong" w:eastAsia="FangSong" w:cs="FangSong"/>
          <w:sz w:val="31"/>
          <w:szCs w:val="31"/>
          <w:spacing w:val="12"/>
        </w:rPr>
        <w:t>台</w:t>
      </w:r>
      <w:r>
        <w:rPr>
          <w:rFonts w:ascii="FangSong" w:hAnsi="FangSong" w:eastAsia="FangSong" w:cs="FangSong"/>
          <w:sz w:val="31"/>
          <w:szCs w:val="31"/>
          <w:spacing w:val="8"/>
        </w:rPr>
        <w:t>，对相关工作予以技术支持和知识产权保护。</w:t>
      </w:r>
    </w:p>
    <w:p>
      <w:pPr>
        <w:ind w:firstLine="652"/>
        <w:spacing w:before="3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0"/>
        </w:rPr>
        <w:t>(</w:t>
      </w:r>
      <w:r>
        <w:rPr>
          <w:rFonts w:ascii="KaiTi" w:hAnsi="KaiTi" w:eastAsia="KaiTi" w:cs="KaiTi"/>
          <w:sz w:val="31"/>
          <w:szCs w:val="31"/>
          <w:spacing w:val="13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三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)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政策支持。</w:t>
      </w:r>
      <w:r>
        <w:rPr>
          <w:rFonts w:ascii="FangSong" w:hAnsi="FangSong" w:eastAsia="FangSong" w:cs="FangSong"/>
          <w:sz w:val="31"/>
          <w:szCs w:val="31"/>
          <w:spacing w:val="10"/>
        </w:rPr>
        <w:t>相关入选教材经过建设使用，优先参与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“</w:t>
      </w:r>
      <w:r>
        <w:rPr>
          <w:rFonts w:ascii="FangSong" w:hAnsi="FangSong" w:eastAsia="FangSong" w:cs="FangSong"/>
          <w:sz w:val="31"/>
          <w:szCs w:val="31"/>
          <w:spacing w:val="6"/>
        </w:rPr>
        <w:t>十四五”普通高等教育本科国家级规划教材认定，优先推荐相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关</w:t>
      </w:r>
      <w:r>
        <w:rPr>
          <w:rFonts w:ascii="FangSong" w:hAnsi="FangSong" w:eastAsia="FangSong" w:cs="FangSong"/>
          <w:sz w:val="31"/>
          <w:szCs w:val="31"/>
          <w:spacing w:val="15"/>
        </w:rPr>
        <w:t>教</w:t>
      </w:r>
      <w:r>
        <w:rPr>
          <w:rFonts w:ascii="FangSong" w:hAnsi="FangSong" w:eastAsia="FangSong" w:cs="FangSong"/>
          <w:sz w:val="31"/>
          <w:szCs w:val="31"/>
          <w:spacing w:val="8"/>
        </w:rPr>
        <w:t>材开展使用培训。鼓励高校将相关工作纳入学校绩效考核。</w:t>
      </w:r>
    </w:p>
    <w:p>
      <w:pPr>
        <w:ind w:left="658"/>
        <w:spacing w:before="2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七、联系方式</w:t>
      </w:r>
    </w:p>
    <w:p>
      <w:pPr>
        <w:ind w:left="667"/>
        <w:spacing w:before="184" w:line="21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教育</w:t>
      </w:r>
      <w:r>
        <w:rPr>
          <w:rFonts w:ascii="FangSong" w:hAnsi="FangSong" w:eastAsia="FangSong" w:cs="FangSong"/>
          <w:sz w:val="31"/>
          <w:szCs w:val="31"/>
          <w:spacing w:val="7"/>
        </w:rPr>
        <w:t>部</w:t>
      </w:r>
      <w:r>
        <w:rPr>
          <w:rFonts w:ascii="FangSong" w:hAnsi="FangSong" w:eastAsia="FangSong" w:cs="FangSong"/>
          <w:sz w:val="31"/>
          <w:szCs w:val="31"/>
          <w:spacing w:val="5"/>
        </w:rPr>
        <w:t>高等教育司:010-66096949、66097419；</w:t>
      </w:r>
    </w:p>
    <w:p>
      <w:pPr>
        <w:ind w:left="669"/>
        <w:spacing w:before="202" w:line="560" w:lineRule="exact"/>
        <w:rPr>
          <w:rFonts w:ascii="SimHei" w:hAnsi="SimHei" w:eastAsia="SimHei" w:cs="SimHei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技术支</w:t>
      </w:r>
      <w:r>
        <w:rPr>
          <w:rFonts w:ascii="FangSong" w:hAnsi="FangSong" w:eastAsia="FangSong" w:cs="FangSong"/>
          <w:sz w:val="31"/>
          <w:szCs w:val="31"/>
          <w:spacing w:val="6"/>
          <w:position w:val="19"/>
        </w:rPr>
        <w:t>持</w:t>
      </w:r>
      <w:r>
        <w:rPr>
          <w:rFonts w:ascii="FangSong" w:hAnsi="FangSong" w:eastAsia="FangSong" w:cs="FangSong"/>
          <w:sz w:val="31"/>
          <w:szCs w:val="31"/>
          <w:spacing w:val="5"/>
          <w:position w:val="19"/>
        </w:rPr>
        <w:t>：叶老师，010-66023547</w:t>
      </w:r>
      <w:r>
        <w:rPr>
          <w:rFonts w:ascii="SimHei" w:hAnsi="SimHei" w:eastAsia="SimHei" w:cs="SimHei"/>
          <w:sz w:val="31"/>
          <w:szCs w:val="31"/>
          <w:spacing w:val="5"/>
          <w:position w:val="19"/>
        </w:rPr>
        <w:t>；</w:t>
      </w:r>
    </w:p>
    <w:p>
      <w:pPr>
        <w:ind w:left="703"/>
        <w:spacing w:before="1" w:line="21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4"/>
        </w:rPr>
        <w:t>电子邮</w:t>
      </w:r>
      <w:r>
        <w:rPr>
          <w:rFonts w:ascii="FangSong" w:hAnsi="FangSong" w:eastAsia="FangSong" w:cs="FangSong"/>
          <w:sz w:val="31"/>
          <w:szCs w:val="31"/>
          <w:spacing w:val="-7"/>
        </w:rPr>
        <w:t>箱：ligongchu@moe.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edu.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cn。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5515" w:right="1090" w:firstLine="125"/>
        <w:spacing w:before="10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教育部办公</w:t>
      </w:r>
      <w:r>
        <w:rPr>
          <w:rFonts w:ascii="FangSong" w:hAnsi="FangSong" w:eastAsia="FangSong" w:cs="FangSong"/>
          <w:sz w:val="31"/>
          <w:szCs w:val="31"/>
          <w:spacing w:val="7"/>
        </w:rPr>
        <w:t>厅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3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>023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年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月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-1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1"/>
        </w:rPr>
        <w:t>日</w:t>
      </w:r>
    </w:p>
    <w:p>
      <w:pPr>
        <w:sectPr>
          <w:footerReference w:type="default" r:id="rId6"/>
          <w:pgSz w:w="11905" w:h="16837"/>
          <w:pgMar w:top="1431" w:right="1462" w:bottom="1921" w:left="1523" w:header="0" w:footer="1675" w:gutter="0"/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112"/>
        <w:spacing w:before="88" w:line="222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24"/>
        </w:rPr>
        <w:t>(此件依申请公开</w:t>
      </w:r>
      <w:r>
        <w:rPr>
          <w:rFonts w:ascii="FangSong" w:hAnsi="FangSong" w:eastAsia="FangSong" w:cs="FangSong"/>
          <w:sz w:val="27"/>
          <w:szCs w:val="27"/>
          <w:spacing w:val="22"/>
        </w:rPr>
        <w:t>)</w:t>
      </w:r>
    </w:p>
    <w:p>
      <w:pPr>
        <w:spacing w:line="106" w:lineRule="exact"/>
        <w:rPr/>
      </w:pPr>
      <w:r/>
    </w:p>
    <w:tbl>
      <w:tblPr>
        <w:tblStyle w:val="2"/>
        <w:tblW w:w="8815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820"/>
        <w:gridCol w:w="4995"/>
      </w:tblGrid>
      <w:tr>
        <w:trPr>
          <w:trHeight w:val="569" w:hRule="atLeast"/>
        </w:trPr>
        <w:tc>
          <w:tcPr>
            <w:tcW w:w="8815" w:type="dxa"/>
            <w:vAlign w:val="top"/>
            <w:gridSpan w:val="2"/>
            <w:tcBorders>
              <w:left w:val="none" w:color="000000" w:sz="2" w:space="0"/>
              <w:right w:val="none" w:color="000000" w:sz="2" w:space="0"/>
            </w:tcBorders>
          </w:tcPr>
          <w:p>
            <w:pPr>
              <w:ind w:left="118"/>
              <w:spacing w:before="136" w:line="224" w:lineRule="auto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FangSong" w:hAnsi="FangSong" w:eastAsia="FangSong" w:cs="FangSong"/>
                <w:sz w:val="27"/>
                <w:szCs w:val="27"/>
                <w:spacing w:val="11"/>
              </w:rPr>
              <w:t>部</w:t>
            </w:r>
            <w:r>
              <w:rPr>
                <w:rFonts w:ascii="FangSong" w:hAnsi="FangSong" w:eastAsia="FangSong" w:cs="FangSong"/>
                <w:sz w:val="27"/>
                <w:szCs w:val="27"/>
                <w:spacing w:val="9"/>
              </w:rPr>
              <w:t>内发送：有关部领导，办公厅</w:t>
            </w:r>
          </w:p>
        </w:tc>
      </w:tr>
      <w:tr>
        <w:trPr>
          <w:trHeight w:val="500" w:hRule="atLeast"/>
        </w:trPr>
        <w:tc>
          <w:tcPr>
            <w:tcW w:w="3820" w:type="dxa"/>
            <w:vAlign w:val="top"/>
            <w:tcBorders>
              <w:left w:val="none" w:color="000000" w:sz="2" w:space="0"/>
              <w:right w:val="none" w:color="000000" w:sz="8" w:space="0"/>
            </w:tcBorders>
          </w:tcPr>
          <w:p>
            <w:pPr>
              <w:ind w:left="118"/>
              <w:spacing w:before="99" w:line="224" w:lineRule="auto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FangSong" w:hAnsi="FangSong" w:eastAsia="FangSong" w:cs="FangSong"/>
                <w:sz w:val="27"/>
                <w:szCs w:val="27"/>
                <w:spacing w:val="8"/>
              </w:rPr>
              <w:t>教育部办公厅</w:t>
            </w:r>
          </w:p>
        </w:tc>
        <w:tc>
          <w:tcPr>
            <w:tcW w:w="4995" w:type="dxa"/>
            <w:vAlign w:val="top"/>
            <w:tcBorders>
              <w:right w:val="none" w:color="000000" w:sz="2" w:space="0"/>
              <w:left w:val="none" w:color="000000" w:sz="8" w:space="0"/>
            </w:tcBorders>
          </w:tcPr>
          <w:p>
            <w:pPr>
              <w:ind w:left="2033"/>
              <w:spacing w:before="99" w:line="224" w:lineRule="auto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>023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7"/>
                <w:szCs w:val="27"/>
                <w:spacing w:val="-3"/>
              </w:rPr>
              <w:t>年</w:t>
            </w:r>
            <w:r>
              <w:rPr>
                <w:rFonts w:ascii="FangSong" w:hAnsi="FangSong" w:eastAsia="FangSong" w:cs="FangSong"/>
                <w:sz w:val="27"/>
                <w:szCs w:val="27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7"/>
                <w:szCs w:val="27"/>
                <w:spacing w:val="-3"/>
              </w:rPr>
              <w:t>月</w:t>
            </w:r>
            <w:r>
              <w:rPr>
                <w:rFonts w:ascii="FangSong" w:hAnsi="FangSong" w:eastAsia="FangSong" w:cs="FangSong"/>
                <w:sz w:val="27"/>
                <w:szCs w:val="27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7"/>
                <w:szCs w:val="27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7"/>
                <w:szCs w:val="27"/>
                <w:spacing w:val="-3"/>
              </w:rPr>
              <w:t>日印发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7"/>
      <w:pgSz w:w="11905" w:h="16837"/>
      <w:pgMar w:top="1431" w:right="1544" w:bottom="1925" w:left="1544" w:header="0" w:footer="167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29" w:lineRule="exact"/>
      <w:textAlignment w:val="center"/>
      <w:rPr/>
    </w:pPr>
    <w:r>
      <w:pict>
        <v:group id="_x0000_s1" style="mso-position-vertical-relative:line;mso-position-horizontal-relative:char;width:439.75pt;height:6.5pt;" filled="false" stroked="false" coordsize="8795,130" coordorigin="0,0">
          <v:shape id="_x0000_s2" style="position:absolute;left:0;top:0;width:8795;height:25;" filled="false" strokecolor="#FF0000" strokeweight="1.25pt" coordsize="8795,25" coordorigin="0,0" path="m0,12l8794,12e">
            <v:stroke miterlimit="10"/>
          </v:shape>
          <v:shape id="_x0000_s3" style="position:absolute;left:0;top:69;width:8795;height:60;" filled="false" strokecolor="#FF0000" strokeweight="3.00pt" coordsize="8795,60" coordorigin="0,0" path="m0,29l8794,29e">
            <v:stroke miterlimit="10"/>
          </v:shape>
        </v:group>
      </w:pic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6"/>
      <w:spacing w:line="193" w:lineRule="auto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—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2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6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8"/>
      <w:spacing w:line="193" w:lineRule="auto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—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3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6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6"/>
      <w:spacing w:line="193" w:lineRule="auto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—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4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6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6"/>
      <w:spacing w:line="190" w:lineRule="auto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—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5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6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5"/>
      <w:spacing w:line="193" w:lineRule="auto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—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7"/>
      </w:rPr>
      <w:t>6</w:t>
    </w:r>
    <w:r>
      <w:rPr>
        <w:rFonts w:ascii="Times New Roman" w:hAnsi="Times New Roman" w:eastAsia="Times New Roman" w:cs="Times New Roman"/>
        <w:sz w:val="27"/>
        <w:szCs w:val="27"/>
        <w:spacing w:val="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b/>
        <w:bCs/>
        <w:spacing w:val="6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jpeg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Foxit OFDToPDF 1.0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jyb</dc:subject>
  <dc:creator>jyb</dc:creator>
  <cp:keywords>jyb</cp:keywords>
  <dcterms:created xsi:type="dcterms:W3CDTF">2023-03-13T20:42:49Z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2023-03-20T16:29:37</vt:filetime>
  </op:property>
</op:Properties>
</file>